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B2AF" w14:textId="77777777" w:rsidR="007E7D67" w:rsidRPr="005442A6" w:rsidRDefault="007E7D67" w:rsidP="00F20710">
      <w:pPr>
        <w:pStyle w:val="NoSpacing"/>
        <w:jc w:val="right"/>
        <w:rPr>
          <w:rFonts w:cs="Arial"/>
          <w:sz w:val="22"/>
        </w:rPr>
      </w:pPr>
      <w:bookmarkStart w:id="0" w:name="_GoBack"/>
      <w:bookmarkEnd w:id="0"/>
      <w:r w:rsidRPr="005442A6">
        <w:rPr>
          <w:rFonts w:cs="Arial"/>
          <w:sz w:val="22"/>
        </w:rPr>
        <w:t>County Hall</w:t>
      </w:r>
    </w:p>
    <w:p w14:paraId="5F5EB5D8" w14:textId="77777777" w:rsidR="007E7D67" w:rsidRPr="005442A6" w:rsidRDefault="007E7D67" w:rsidP="00F20710">
      <w:pPr>
        <w:pStyle w:val="NoSpacing"/>
        <w:jc w:val="right"/>
        <w:rPr>
          <w:rFonts w:cs="Arial"/>
          <w:sz w:val="22"/>
        </w:rPr>
      </w:pPr>
      <w:r w:rsidRPr="005442A6">
        <w:rPr>
          <w:rFonts w:cs="Arial"/>
          <w:sz w:val="22"/>
        </w:rPr>
        <w:t>Martineau Lane</w:t>
      </w:r>
    </w:p>
    <w:p w14:paraId="4F730A3E" w14:textId="77777777" w:rsidR="007E7D67" w:rsidRPr="005442A6" w:rsidRDefault="007E7D67" w:rsidP="00F20710">
      <w:pPr>
        <w:pStyle w:val="NoSpacing"/>
        <w:jc w:val="right"/>
        <w:rPr>
          <w:rFonts w:cs="Arial"/>
          <w:sz w:val="22"/>
        </w:rPr>
      </w:pPr>
      <w:r w:rsidRPr="005442A6">
        <w:rPr>
          <w:rFonts w:cs="Arial"/>
          <w:sz w:val="22"/>
        </w:rPr>
        <w:t>Norwich</w:t>
      </w:r>
    </w:p>
    <w:p w14:paraId="0B5CC026" w14:textId="77777777" w:rsidR="007E7D67" w:rsidRPr="005442A6" w:rsidRDefault="007E7D67" w:rsidP="00F20710">
      <w:pPr>
        <w:pStyle w:val="NoSpacing"/>
        <w:jc w:val="right"/>
        <w:rPr>
          <w:rFonts w:cs="Arial"/>
          <w:sz w:val="22"/>
        </w:rPr>
      </w:pPr>
      <w:r w:rsidRPr="005442A6">
        <w:rPr>
          <w:rFonts w:cs="Arial"/>
          <w:sz w:val="22"/>
        </w:rPr>
        <w:t>Norfolk</w:t>
      </w:r>
    </w:p>
    <w:p w14:paraId="00441A32" w14:textId="77777777" w:rsidR="007E7D67" w:rsidRPr="005442A6" w:rsidRDefault="007E7D67" w:rsidP="00F20710">
      <w:pPr>
        <w:pStyle w:val="NoSpacing"/>
        <w:jc w:val="right"/>
        <w:rPr>
          <w:rFonts w:cs="Arial"/>
          <w:sz w:val="22"/>
        </w:rPr>
      </w:pPr>
      <w:r w:rsidRPr="005442A6">
        <w:rPr>
          <w:rFonts w:cs="Arial"/>
          <w:sz w:val="22"/>
        </w:rPr>
        <w:t>NR1 2DH</w:t>
      </w:r>
    </w:p>
    <w:p w14:paraId="4FAD9FF8" w14:textId="77777777" w:rsidR="007E7D67" w:rsidRPr="005442A6" w:rsidRDefault="007E7D67" w:rsidP="00F20710">
      <w:pPr>
        <w:pStyle w:val="NoSpacing"/>
        <w:jc w:val="right"/>
        <w:rPr>
          <w:rFonts w:cs="Arial"/>
          <w:sz w:val="22"/>
        </w:rPr>
      </w:pPr>
    </w:p>
    <w:p w14:paraId="52DEC296" w14:textId="77777777" w:rsidR="007E7D67" w:rsidRPr="005442A6" w:rsidRDefault="007E7D67" w:rsidP="00F20710">
      <w:pPr>
        <w:pStyle w:val="NoSpacing"/>
        <w:jc w:val="right"/>
        <w:rPr>
          <w:rFonts w:cs="Arial"/>
          <w:sz w:val="22"/>
        </w:rPr>
      </w:pPr>
      <w:r w:rsidRPr="005442A6">
        <w:rPr>
          <w:rFonts w:cs="Arial"/>
          <w:sz w:val="22"/>
        </w:rPr>
        <w:t xml:space="preserve">Please ask for: </w:t>
      </w:r>
      <w:r w:rsidR="00C81456" w:rsidRPr="005442A6">
        <w:rPr>
          <w:rFonts w:cs="Arial"/>
          <w:sz w:val="22"/>
        </w:rPr>
        <w:t>Simon George</w:t>
      </w:r>
    </w:p>
    <w:p w14:paraId="46DBE662" w14:textId="77777777" w:rsidR="007E7D67" w:rsidRPr="005442A6" w:rsidRDefault="007E7D67" w:rsidP="00F20710">
      <w:pPr>
        <w:pStyle w:val="NoSpacing"/>
        <w:jc w:val="right"/>
        <w:rPr>
          <w:rFonts w:cs="Arial"/>
          <w:sz w:val="22"/>
        </w:rPr>
      </w:pPr>
      <w:r w:rsidRPr="005442A6">
        <w:rPr>
          <w:rFonts w:cs="Arial"/>
          <w:sz w:val="22"/>
        </w:rPr>
        <w:t>Direct Dialling Number: 01603 222400</w:t>
      </w:r>
    </w:p>
    <w:p w14:paraId="7D221B09" w14:textId="77777777" w:rsidR="007E7D67" w:rsidRPr="005442A6" w:rsidRDefault="007E7D67" w:rsidP="00F20710">
      <w:pPr>
        <w:pStyle w:val="NoSpacing"/>
        <w:jc w:val="right"/>
        <w:rPr>
          <w:rFonts w:cs="Arial"/>
          <w:sz w:val="22"/>
        </w:rPr>
      </w:pPr>
      <w:r w:rsidRPr="005442A6">
        <w:rPr>
          <w:rFonts w:cs="Arial"/>
          <w:sz w:val="22"/>
        </w:rPr>
        <w:t xml:space="preserve">Email: </w:t>
      </w:r>
      <w:hyperlink r:id="rId8" w:history="1">
        <w:r w:rsidR="00C81456" w:rsidRPr="005442A6">
          <w:rPr>
            <w:rStyle w:val="Hyperlink"/>
            <w:rFonts w:cs="Arial"/>
            <w:sz w:val="22"/>
          </w:rPr>
          <w:t>simon.george@norfolk.gov.uk</w:t>
        </w:r>
      </w:hyperlink>
    </w:p>
    <w:p w14:paraId="20741584" w14:textId="77777777" w:rsidR="007E7D67" w:rsidRPr="005442A6" w:rsidRDefault="007E7D67" w:rsidP="00F20710">
      <w:pPr>
        <w:pStyle w:val="NoSpacing"/>
        <w:jc w:val="right"/>
        <w:rPr>
          <w:rFonts w:cs="Arial"/>
          <w:sz w:val="22"/>
        </w:rPr>
      </w:pPr>
    </w:p>
    <w:p w14:paraId="206A3C80" w14:textId="75757662" w:rsidR="007E7D67" w:rsidRPr="005442A6" w:rsidRDefault="00547642" w:rsidP="00F20710">
      <w:pPr>
        <w:pStyle w:val="NoSpacing"/>
        <w:jc w:val="right"/>
        <w:rPr>
          <w:rFonts w:cs="Arial"/>
          <w:sz w:val="22"/>
        </w:rPr>
      </w:pPr>
      <w:r w:rsidRPr="00FC402E">
        <w:rPr>
          <w:rFonts w:cs="Arial"/>
          <w:sz w:val="22"/>
        </w:rPr>
        <w:t>14</w:t>
      </w:r>
      <w:r w:rsidR="00D82D77" w:rsidRPr="00547642">
        <w:rPr>
          <w:rFonts w:cs="Arial"/>
          <w:sz w:val="22"/>
        </w:rPr>
        <w:t xml:space="preserve"> January </w:t>
      </w:r>
      <w:r w:rsidR="001255FC" w:rsidRPr="00547642">
        <w:rPr>
          <w:rFonts w:cs="Arial"/>
          <w:sz w:val="22"/>
        </w:rPr>
        <w:t>201</w:t>
      </w:r>
      <w:r w:rsidR="00D82D77" w:rsidRPr="00547642">
        <w:rPr>
          <w:rFonts w:cs="Arial"/>
          <w:sz w:val="22"/>
        </w:rPr>
        <w:t>9</w:t>
      </w:r>
    </w:p>
    <w:p w14:paraId="269FC248" w14:textId="77777777" w:rsidR="007E7D67" w:rsidRPr="005442A6" w:rsidRDefault="007E7D67" w:rsidP="00F20710">
      <w:pPr>
        <w:pStyle w:val="NoSpacing"/>
        <w:jc w:val="both"/>
        <w:rPr>
          <w:rFonts w:cs="Arial"/>
          <w:sz w:val="22"/>
        </w:rPr>
      </w:pPr>
    </w:p>
    <w:p w14:paraId="5F813C92" w14:textId="77777777" w:rsidR="00350EAD" w:rsidRPr="008A7DB4" w:rsidRDefault="00350EAD" w:rsidP="00350EAD">
      <w:pPr>
        <w:pStyle w:val="NoSpacing"/>
        <w:jc w:val="both"/>
        <w:rPr>
          <w:rFonts w:cs="Arial"/>
          <w:sz w:val="22"/>
          <w:highlight w:val="yellow"/>
        </w:rPr>
      </w:pPr>
    </w:p>
    <w:p w14:paraId="78B5D088" w14:textId="77777777" w:rsidR="00B81EF0" w:rsidRPr="005442A6" w:rsidRDefault="00B81EF0" w:rsidP="00F20710">
      <w:pPr>
        <w:pStyle w:val="NoSpacing"/>
        <w:jc w:val="both"/>
        <w:rPr>
          <w:rFonts w:cs="Arial"/>
          <w:sz w:val="22"/>
        </w:rPr>
      </w:pPr>
    </w:p>
    <w:p w14:paraId="720DD86E" w14:textId="1510D328" w:rsidR="000E16D3" w:rsidRPr="00547642" w:rsidRDefault="00B86EF0" w:rsidP="00F20710">
      <w:pPr>
        <w:pStyle w:val="Default"/>
        <w:jc w:val="both"/>
        <w:rPr>
          <w:sz w:val="22"/>
          <w:szCs w:val="22"/>
        </w:rPr>
      </w:pPr>
      <w:r w:rsidRPr="00547642">
        <w:rPr>
          <w:sz w:val="22"/>
          <w:szCs w:val="22"/>
        </w:rPr>
        <w:t xml:space="preserve">Submitted electronically via </w:t>
      </w:r>
      <w:r w:rsidR="00547642" w:rsidRPr="00FC402E">
        <w:rPr>
          <w:sz w:val="22"/>
          <w:szCs w:val="22"/>
        </w:rPr>
        <w:t>EFSA Enquiry Form</w:t>
      </w:r>
      <w:r w:rsidR="00F20710" w:rsidRPr="00547642">
        <w:rPr>
          <w:rFonts w:eastAsia="Times New Roman"/>
          <w:color w:val="auto"/>
          <w:sz w:val="22"/>
          <w:szCs w:val="22"/>
        </w:rPr>
        <w:t>.</w:t>
      </w:r>
    </w:p>
    <w:p w14:paraId="68CD600B" w14:textId="77777777" w:rsidR="008A7DB4" w:rsidRPr="00FC402E" w:rsidRDefault="008A7DB4" w:rsidP="00F20710">
      <w:pPr>
        <w:pStyle w:val="Default"/>
        <w:jc w:val="both"/>
        <w:rPr>
          <w:sz w:val="22"/>
          <w:szCs w:val="22"/>
        </w:rPr>
      </w:pPr>
    </w:p>
    <w:p w14:paraId="3F5DA32D" w14:textId="274A4F35" w:rsidR="008A7DB4" w:rsidRPr="005442A6" w:rsidRDefault="008A7DB4" w:rsidP="00F20710">
      <w:pPr>
        <w:pStyle w:val="Default"/>
        <w:jc w:val="both"/>
        <w:rPr>
          <w:sz w:val="22"/>
          <w:szCs w:val="22"/>
        </w:rPr>
      </w:pPr>
      <w:r w:rsidRPr="00FC402E">
        <w:rPr>
          <w:sz w:val="22"/>
          <w:szCs w:val="22"/>
        </w:rPr>
        <w:t>Copied to Norfolk Members of Parliament</w:t>
      </w:r>
    </w:p>
    <w:p w14:paraId="1834EAE0" w14:textId="77777777" w:rsidR="00434E7B" w:rsidRPr="005442A6" w:rsidRDefault="00434E7B" w:rsidP="00F20710">
      <w:pPr>
        <w:pStyle w:val="NoSpacing"/>
        <w:jc w:val="both"/>
        <w:rPr>
          <w:rFonts w:cs="Arial"/>
          <w:b/>
          <w:sz w:val="22"/>
        </w:rPr>
      </w:pPr>
    </w:p>
    <w:p w14:paraId="4123510B" w14:textId="77777777" w:rsidR="002B6F88" w:rsidRPr="005442A6" w:rsidRDefault="00B81EF0" w:rsidP="00F20710">
      <w:pPr>
        <w:pStyle w:val="NoSpacing"/>
        <w:jc w:val="both"/>
        <w:rPr>
          <w:rFonts w:cs="Arial"/>
          <w:b/>
          <w:sz w:val="22"/>
        </w:rPr>
      </w:pPr>
      <w:r w:rsidRPr="005442A6">
        <w:rPr>
          <w:rFonts w:cs="Arial"/>
          <w:b/>
          <w:sz w:val="22"/>
        </w:rPr>
        <w:t xml:space="preserve">Invitation to reduce or remove Dedicated Schools Grant (DSG) </w:t>
      </w:r>
      <w:r w:rsidR="002F5A68" w:rsidRPr="005442A6">
        <w:rPr>
          <w:rFonts w:cs="Arial"/>
          <w:b/>
          <w:sz w:val="22"/>
        </w:rPr>
        <w:t xml:space="preserve">High Needs Block (HNB) </w:t>
      </w:r>
      <w:r w:rsidRPr="005442A6">
        <w:rPr>
          <w:rFonts w:cs="Arial"/>
          <w:b/>
          <w:sz w:val="22"/>
        </w:rPr>
        <w:t xml:space="preserve">disapplication request </w:t>
      </w:r>
    </w:p>
    <w:p w14:paraId="02E8D948" w14:textId="77777777" w:rsidR="00EA4211" w:rsidRPr="005442A6" w:rsidRDefault="00EA4211" w:rsidP="00F20710">
      <w:pPr>
        <w:pStyle w:val="NoSpacing"/>
        <w:jc w:val="both"/>
        <w:rPr>
          <w:rFonts w:cs="Arial"/>
          <w:b/>
          <w:sz w:val="22"/>
        </w:rPr>
      </w:pPr>
    </w:p>
    <w:p w14:paraId="39E4612B" w14:textId="77777777" w:rsidR="00F20710" w:rsidRPr="005442A6" w:rsidRDefault="0010514E" w:rsidP="00F20710">
      <w:pPr>
        <w:shd w:val="clear" w:color="auto" w:fill="FFFFFF"/>
        <w:rPr>
          <w:rFonts w:cs="Arial"/>
          <w:b/>
          <w:sz w:val="22"/>
          <w:szCs w:val="22"/>
        </w:rPr>
      </w:pPr>
      <w:r w:rsidRPr="005442A6">
        <w:rPr>
          <w:rFonts w:cs="Arial"/>
          <w:sz w:val="22"/>
          <w:szCs w:val="22"/>
        </w:rPr>
        <w:t>R</w:t>
      </w:r>
      <w:r w:rsidR="008D088E" w:rsidRPr="005442A6">
        <w:rPr>
          <w:rFonts w:cs="Arial"/>
          <w:sz w:val="22"/>
          <w:szCs w:val="22"/>
        </w:rPr>
        <w:t>esponse on be</w:t>
      </w:r>
      <w:r w:rsidR="00A6532C" w:rsidRPr="005442A6">
        <w:rPr>
          <w:rFonts w:cs="Arial"/>
          <w:sz w:val="22"/>
          <w:szCs w:val="22"/>
        </w:rPr>
        <w:t>half of</w:t>
      </w:r>
      <w:r w:rsidR="00A6532C" w:rsidRPr="005442A6">
        <w:rPr>
          <w:rFonts w:cs="Arial"/>
          <w:b/>
          <w:sz w:val="22"/>
          <w:szCs w:val="22"/>
        </w:rPr>
        <w:t xml:space="preserve"> Norfolk County Council </w:t>
      </w:r>
    </w:p>
    <w:p w14:paraId="09708971" w14:textId="77777777" w:rsidR="00434E7B" w:rsidRPr="005442A6" w:rsidRDefault="00434E7B" w:rsidP="00F20710">
      <w:pPr>
        <w:pStyle w:val="NoSpacing"/>
        <w:jc w:val="both"/>
        <w:rPr>
          <w:rFonts w:cs="Arial"/>
          <w:b/>
          <w:sz w:val="22"/>
        </w:rPr>
      </w:pPr>
    </w:p>
    <w:p w14:paraId="3D555DDC" w14:textId="197CFC32" w:rsidR="00D8736D" w:rsidRPr="005442A6" w:rsidRDefault="00536803" w:rsidP="00F05E7B">
      <w:pPr>
        <w:pStyle w:val="NoSpacing"/>
        <w:jc w:val="both"/>
        <w:rPr>
          <w:rFonts w:cs="Arial"/>
          <w:sz w:val="22"/>
        </w:rPr>
      </w:pPr>
      <w:r w:rsidRPr="005442A6">
        <w:rPr>
          <w:rFonts w:cs="Arial"/>
          <w:sz w:val="22"/>
        </w:rPr>
        <w:t xml:space="preserve">Norfolk County Council appreciates the </w:t>
      </w:r>
      <w:r w:rsidR="00294496" w:rsidRPr="005442A6">
        <w:rPr>
          <w:rFonts w:cs="Arial"/>
          <w:sz w:val="22"/>
        </w:rPr>
        <w:t>opportunity</w:t>
      </w:r>
      <w:r w:rsidR="001C65CE" w:rsidRPr="005442A6">
        <w:rPr>
          <w:rFonts w:cs="Arial"/>
          <w:sz w:val="22"/>
        </w:rPr>
        <w:t xml:space="preserve"> set out in the Secretary of State</w:t>
      </w:r>
      <w:r w:rsidR="00FF2072">
        <w:rPr>
          <w:rFonts w:cs="Arial"/>
          <w:sz w:val="22"/>
        </w:rPr>
        <w:t xml:space="preserve"> for Education</w:t>
      </w:r>
      <w:r w:rsidR="001C65CE" w:rsidRPr="005442A6">
        <w:rPr>
          <w:rFonts w:cs="Arial"/>
          <w:sz w:val="22"/>
        </w:rPr>
        <w:t>’s letter to local authorities dated 17 December 2018</w:t>
      </w:r>
      <w:r w:rsidR="00294496" w:rsidRPr="005442A6">
        <w:rPr>
          <w:rFonts w:cs="Arial"/>
          <w:sz w:val="22"/>
        </w:rPr>
        <w:t xml:space="preserve"> </w:t>
      </w:r>
      <w:r w:rsidRPr="005442A6">
        <w:rPr>
          <w:rFonts w:cs="Arial"/>
          <w:sz w:val="22"/>
        </w:rPr>
        <w:t xml:space="preserve">to respond to </w:t>
      </w:r>
      <w:r w:rsidR="002F5A68" w:rsidRPr="005442A6">
        <w:rPr>
          <w:rFonts w:cs="Arial"/>
          <w:sz w:val="22"/>
        </w:rPr>
        <w:t>the Government’s invitation to reconsider the level of its DSG HNB disapplication request</w:t>
      </w:r>
      <w:r w:rsidR="00C5393F" w:rsidRPr="005442A6">
        <w:rPr>
          <w:rFonts w:cs="Arial"/>
          <w:sz w:val="22"/>
        </w:rPr>
        <w:t>.</w:t>
      </w:r>
      <w:r w:rsidR="00207A8B" w:rsidRPr="005442A6">
        <w:rPr>
          <w:rFonts w:cs="Arial"/>
          <w:sz w:val="22"/>
        </w:rPr>
        <w:t xml:space="preserve"> </w:t>
      </w:r>
      <w:r w:rsidR="00D8736D" w:rsidRPr="005442A6">
        <w:rPr>
          <w:rFonts w:cs="Arial"/>
          <w:sz w:val="22"/>
        </w:rPr>
        <w:t>The Council</w:t>
      </w:r>
      <w:r w:rsidR="00207A8B" w:rsidRPr="005442A6">
        <w:rPr>
          <w:rFonts w:cs="Arial"/>
          <w:sz w:val="22"/>
        </w:rPr>
        <w:t xml:space="preserve"> </w:t>
      </w:r>
      <w:proofErr w:type="gramStart"/>
      <w:r w:rsidR="00207A8B" w:rsidRPr="005442A6">
        <w:rPr>
          <w:rFonts w:cs="Arial"/>
          <w:sz w:val="22"/>
        </w:rPr>
        <w:t>in particular welcomes</w:t>
      </w:r>
      <w:proofErr w:type="gramEnd"/>
      <w:r w:rsidR="00207A8B" w:rsidRPr="005442A6">
        <w:rPr>
          <w:rFonts w:cs="Arial"/>
          <w:sz w:val="22"/>
        </w:rPr>
        <w:t xml:space="preserve"> the </w:t>
      </w:r>
      <w:r w:rsidR="00D8736D" w:rsidRPr="005442A6">
        <w:rPr>
          <w:rFonts w:cs="Arial"/>
          <w:sz w:val="22"/>
        </w:rPr>
        <w:t>announcement of additional HNB funding for 2018-19 and 2019-20 which is worth £1.8</w:t>
      </w:r>
      <w:r w:rsidR="003E36AF">
        <w:rPr>
          <w:rFonts w:cs="Arial"/>
          <w:sz w:val="22"/>
        </w:rPr>
        <w:t>03</w:t>
      </w:r>
      <w:r w:rsidR="00D8736D" w:rsidRPr="005442A6">
        <w:rPr>
          <w:rFonts w:cs="Arial"/>
          <w:sz w:val="22"/>
        </w:rPr>
        <w:t>m per year for Norfolk. Unfortunately</w:t>
      </w:r>
      <w:r w:rsidR="001339E6">
        <w:rPr>
          <w:rFonts w:cs="Arial"/>
          <w:sz w:val="22"/>
        </w:rPr>
        <w:t>,</w:t>
      </w:r>
      <w:r w:rsidR="00D8736D" w:rsidRPr="005442A6">
        <w:rPr>
          <w:rFonts w:cs="Arial"/>
          <w:sz w:val="22"/>
        </w:rPr>
        <w:t xml:space="preserve"> this allocation falls short of the amount </w:t>
      </w:r>
      <w:r w:rsidR="000249DB" w:rsidRPr="005442A6">
        <w:rPr>
          <w:rFonts w:cs="Arial"/>
          <w:sz w:val="22"/>
        </w:rPr>
        <w:t xml:space="preserve">that would be </w:t>
      </w:r>
      <w:r w:rsidR="00D8736D" w:rsidRPr="005442A6">
        <w:rPr>
          <w:rFonts w:cs="Arial"/>
          <w:sz w:val="22"/>
        </w:rPr>
        <w:t>required to</w:t>
      </w:r>
      <w:r w:rsidR="000249DB" w:rsidRPr="005442A6">
        <w:rPr>
          <w:rFonts w:cs="Arial"/>
          <w:sz w:val="22"/>
        </w:rPr>
        <w:t xml:space="preserve"> deliver a sustainable HNB budget position</w:t>
      </w:r>
      <w:r w:rsidR="00756880" w:rsidRPr="005442A6">
        <w:rPr>
          <w:rFonts w:cs="Arial"/>
          <w:sz w:val="22"/>
        </w:rPr>
        <w:t xml:space="preserve"> in the short to medium term</w:t>
      </w:r>
      <w:r w:rsidR="001339E6">
        <w:rPr>
          <w:rFonts w:cs="Arial"/>
          <w:sz w:val="22"/>
        </w:rPr>
        <w:t xml:space="preserve"> because of the very severe pressures being encountered within these budgets</w:t>
      </w:r>
      <w:r w:rsidR="00D82D77" w:rsidRPr="005442A6">
        <w:rPr>
          <w:rFonts w:cs="Arial"/>
          <w:sz w:val="22"/>
        </w:rPr>
        <w:t>. A</w:t>
      </w:r>
      <w:r w:rsidR="000249DB" w:rsidRPr="005442A6">
        <w:rPr>
          <w:rFonts w:cs="Arial"/>
          <w:sz w:val="22"/>
        </w:rPr>
        <w:t>s such</w:t>
      </w:r>
      <w:r w:rsidR="00D82D77" w:rsidRPr="005442A6">
        <w:rPr>
          <w:rFonts w:cs="Arial"/>
          <w:sz w:val="22"/>
        </w:rPr>
        <w:t>,</w:t>
      </w:r>
      <w:r w:rsidR="000249DB" w:rsidRPr="005442A6">
        <w:rPr>
          <w:rFonts w:cs="Arial"/>
          <w:sz w:val="22"/>
        </w:rPr>
        <w:t xml:space="preserve"> </w:t>
      </w:r>
      <w:r w:rsidR="00D82D77" w:rsidRPr="005442A6">
        <w:rPr>
          <w:rFonts w:cs="Arial"/>
          <w:sz w:val="22"/>
        </w:rPr>
        <w:t>for the</w:t>
      </w:r>
      <w:r w:rsidR="00756880" w:rsidRPr="005442A6">
        <w:rPr>
          <w:rFonts w:cs="Arial"/>
          <w:sz w:val="22"/>
        </w:rPr>
        <w:t xml:space="preserve"> </w:t>
      </w:r>
      <w:r w:rsidR="00D82D77" w:rsidRPr="005442A6">
        <w:rPr>
          <w:rFonts w:cs="Arial"/>
          <w:sz w:val="22"/>
        </w:rPr>
        <w:t xml:space="preserve">reasons set out in </w:t>
      </w:r>
      <w:r w:rsidR="00756880" w:rsidRPr="005442A6">
        <w:rPr>
          <w:rFonts w:cs="Arial"/>
          <w:sz w:val="22"/>
        </w:rPr>
        <w:t xml:space="preserve">further detail in </w:t>
      </w:r>
      <w:r w:rsidR="00D82D77" w:rsidRPr="005442A6">
        <w:rPr>
          <w:rFonts w:cs="Arial"/>
          <w:sz w:val="22"/>
        </w:rPr>
        <w:t xml:space="preserve">this response, </w:t>
      </w:r>
      <w:r w:rsidR="000249DB" w:rsidRPr="005442A6">
        <w:rPr>
          <w:rFonts w:cs="Arial"/>
          <w:sz w:val="22"/>
        </w:rPr>
        <w:t xml:space="preserve">the </w:t>
      </w:r>
      <w:r w:rsidR="000249DB" w:rsidRPr="005442A6">
        <w:rPr>
          <w:rFonts w:cs="Arial"/>
          <w:b/>
          <w:sz w:val="22"/>
        </w:rPr>
        <w:t xml:space="preserve">Council </w:t>
      </w:r>
      <w:r w:rsidR="004F4365">
        <w:rPr>
          <w:rFonts w:cs="Arial"/>
          <w:b/>
          <w:sz w:val="22"/>
        </w:rPr>
        <w:t>is strongly of the view that</w:t>
      </w:r>
      <w:r w:rsidR="00207A8B" w:rsidRPr="005442A6">
        <w:rPr>
          <w:rFonts w:cs="Arial"/>
          <w:b/>
          <w:sz w:val="22"/>
        </w:rPr>
        <w:t xml:space="preserve"> its request</w:t>
      </w:r>
      <w:r w:rsidR="00207A8B" w:rsidRPr="005442A6">
        <w:rPr>
          <w:rFonts w:cs="Arial"/>
          <w:sz w:val="22"/>
        </w:rPr>
        <w:t xml:space="preserve"> as originally </w:t>
      </w:r>
      <w:r w:rsidR="00D82D77" w:rsidRPr="005442A6">
        <w:rPr>
          <w:rFonts w:cs="Arial"/>
          <w:sz w:val="22"/>
        </w:rPr>
        <w:t>submitted 29</w:t>
      </w:r>
      <w:r w:rsidR="00207A8B" w:rsidRPr="005442A6">
        <w:rPr>
          <w:rFonts w:cs="Arial"/>
          <w:sz w:val="22"/>
        </w:rPr>
        <w:t xml:space="preserve"> </w:t>
      </w:r>
      <w:r w:rsidR="00D82D77" w:rsidRPr="005442A6">
        <w:rPr>
          <w:rFonts w:cs="Arial"/>
          <w:sz w:val="22"/>
        </w:rPr>
        <w:t>Nove</w:t>
      </w:r>
      <w:r w:rsidR="00207A8B" w:rsidRPr="005442A6">
        <w:rPr>
          <w:rFonts w:cs="Arial"/>
          <w:sz w:val="22"/>
        </w:rPr>
        <w:t>mber 2018</w:t>
      </w:r>
      <w:r w:rsidR="004F4365">
        <w:rPr>
          <w:rFonts w:cs="Arial"/>
          <w:sz w:val="22"/>
        </w:rPr>
        <w:t xml:space="preserve"> must be maintained</w:t>
      </w:r>
      <w:r w:rsidR="00207A8B" w:rsidRPr="005442A6">
        <w:rPr>
          <w:rFonts w:cs="Arial"/>
          <w:sz w:val="22"/>
        </w:rPr>
        <w:t xml:space="preserve">. </w:t>
      </w:r>
    </w:p>
    <w:p w14:paraId="0EFEA867" w14:textId="77777777" w:rsidR="00D8736D" w:rsidRPr="005442A6" w:rsidRDefault="00D8736D" w:rsidP="00F05E7B">
      <w:pPr>
        <w:pStyle w:val="NoSpacing"/>
        <w:jc w:val="both"/>
        <w:rPr>
          <w:rFonts w:cs="Arial"/>
          <w:sz w:val="22"/>
        </w:rPr>
      </w:pPr>
    </w:p>
    <w:p w14:paraId="5A8F24F9" w14:textId="32FEED6B" w:rsidR="00D82D77" w:rsidRPr="005442A6" w:rsidRDefault="00D82D77" w:rsidP="00F05E7B">
      <w:pPr>
        <w:pStyle w:val="NoSpacing"/>
        <w:jc w:val="both"/>
        <w:rPr>
          <w:rFonts w:cs="Arial"/>
          <w:sz w:val="22"/>
        </w:rPr>
      </w:pPr>
      <w:r w:rsidRPr="005442A6">
        <w:rPr>
          <w:rFonts w:cs="Arial"/>
          <w:sz w:val="22"/>
        </w:rPr>
        <w:t xml:space="preserve">Norfolk’s </w:t>
      </w:r>
      <w:r w:rsidR="00756880" w:rsidRPr="005442A6">
        <w:rPr>
          <w:rFonts w:cs="Arial"/>
          <w:sz w:val="22"/>
        </w:rPr>
        <w:t>disapplication request</w:t>
      </w:r>
      <w:r w:rsidR="004526CE" w:rsidRPr="005442A6">
        <w:rPr>
          <w:rFonts w:cs="Arial"/>
          <w:sz w:val="22"/>
        </w:rPr>
        <w:t xml:space="preserve"> was submitted with the support of the Schools’</w:t>
      </w:r>
      <w:r w:rsidR="00651403" w:rsidRPr="005442A6">
        <w:rPr>
          <w:rFonts w:cs="Arial"/>
          <w:sz w:val="22"/>
        </w:rPr>
        <w:t xml:space="preserve"> Forum and</w:t>
      </w:r>
      <w:r w:rsidR="00756880" w:rsidRPr="005442A6">
        <w:rPr>
          <w:rFonts w:cs="Arial"/>
          <w:sz w:val="22"/>
        </w:rPr>
        <w:t xml:space="preserve"> </w:t>
      </w:r>
      <w:r w:rsidR="004526CE" w:rsidRPr="005442A6">
        <w:rPr>
          <w:rFonts w:cs="Arial"/>
          <w:sz w:val="22"/>
        </w:rPr>
        <w:t>seeks</w:t>
      </w:r>
      <w:r w:rsidRPr="005442A6">
        <w:rPr>
          <w:rFonts w:cs="Arial"/>
          <w:sz w:val="22"/>
        </w:rPr>
        <w:t xml:space="preserve"> to transf</w:t>
      </w:r>
      <w:r w:rsidR="001339E6">
        <w:rPr>
          <w:rFonts w:cs="Arial"/>
          <w:sz w:val="22"/>
        </w:rPr>
        <w:t xml:space="preserve">er £4.580m of funding from the </w:t>
      </w:r>
      <w:proofErr w:type="gramStart"/>
      <w:r w:rsidR="001339E6">
        <w:rPr>
          <w:rFonts w:cs="Arial"/>
          <w:sz w:val="22"/>
        </w:rPr>
        <w:t>s</w:t>
      </w:r>
      <w:r w:rsidRPr="005442A6">
        <w:rPr>
          <w:rFonts w:cs="Arial"/>
          <w:sz w:val="22"/>
        </w:rPr>
        <w:t>chools</w:t>
      </w:r>
      <w:proofErr w:type="gramEnd"/>
      <w:r w:rsidRPr="005442A6">
        <w:rPr>
          <w:rFonts w:cs="Arial"/>
          <w:sz w:val="22"/>
        </w:rPr>
        <w:t xml:space="preserve"> block to the HNB, </w:t>
      </w:r>
      <w:r w:rsidR="00756880" w:rsidRPr="005442A6">
        <w:rPr>
          <w:rFonts w:cs="Arial"/>
          <w:sz w:val="22"/>
        </w:rPr>
        <w:t xml:space="preserve">representing the additional schools block funding for 2019-20 that Norfolk will receive under the new National Funding Formula unit values. Following the announcement of additional funding for 2018-19 and 2019-20, the </w:t>
      </w:r>
      <w:r w:rsidR="00756880" w:rsidRPr="00350EAD">
        <w:rPr>
          <w:rFonts w:cs="Arial"/>
          <w:sz w:val="22"/>
        </w:rPr>
        <w:t xml:space="preserve">Council has reviewed the overall 2019-20 budget position and </w:t>
      </w:r>
      <w:r w:rsidR="006573C7" w:rsidRPr="00350EAD">
        <w:rPr>
          <w:rFonts w:cs="Arial"/>
          <w:sz w:val="22"/>
        </w:rPr>
        <w:t xml:space="preserve">considers that it is insufficient to cover the </w:t>
      </w:r>
      <w:r w:rsidR="000C6299" w:rsidRPr="00350EAD">
        <w:rPr>
          <w:rFonts w:cs="Arial"/>
          <w:sz w:val="22"/>
        </w:rPr>
        <w:t xml:space="preserve">significant </w:t>
      </w:r>
      <w:r w:rsidR="006573C7" w:rsidRPr="00350EAD">
        <w:rPr>
          <w:rFonts w:cs="Arial"/>
          <w:sz w:val="22"/>
        </w:rPr>
        <w:t>demand in Norfolk for high needs places</w:t>
      </w:r>
      <w:r w:rsidR="004526CE" w:rsidRPr="00350EAD">
        <w:rPr>
          <w:rFonts w:cs="Arial"/>
          <w:sz w:val="22"/>
        </w:rPr>
        <w:t xml:space="preserve"> which means that it would not be prudent to reduce or withdraw the disapplication request</w:t>
      </w:r>
      <w:r w:rsidR="006573C7" w:rsidRPr="0090214A">
        <w:rPr>
          <w:rFonts w:cs="Arial"/>
          <w:sz w:val="22"/>
        </w:rPr>
        <w:t xml:space="preserve">. </w:t>
      </w:r>
      <w:proofErr w:type="gramStart"/>
      <w:r w:rsidR="00260B6A">
        <w:rPr>
          <w:rFonts w:cs="Arial"/>
          <w:sz w:val="22"/>
        </w:rPr>
        <w:t>I</w:t>
      </w:r>
      <w:r w:rsidR="00260B6A" w:rsidRPr="0090214A">
        <w:rPr>
          <w:rFonts w:cs="Arial"/>
          <w:sz w:val="22"/>
        </w:rPr>
        <w:t>n light of</w:t>
      </w:r>
      <w:proofErr w:type="gramEnd"/>
      <w:r w:rsidR="00260B6A" w:rsidRPr="0090214A">
        <w:rPr>
          <w:rFonts w:cs="Arial"/>
          <w:sz w:val="22"/>
        </w:rPr>
        <w:t xml:space="preserve"> the additional funding announcements</w:t>
      </w:r>
      <w:r w:rsidR="00260B6A">
        <w:rPr>
          <w:rFonts w:cs="Arial"/>
          <w:sz w:val="22"/>
        </w:rPr>
        <w:t>,</w:t>
      </w:r>
      <w:r w:rsidR="00260B6A" w:rsidRPr="0090214A">
        <w:rPr>
          <w:rFonts w:cs="Arial"/>
          <w:sz w:val="22"/>
        </w:rPr>
        <w:t xml:space="preserve"> </w:t>
      </w:r>
      <w:r w:rsidR="00260B6A">
        <w:rPr>
          <w:rFonts w:cs="Arial"/>
          <w:sz w:val="22"/>
        </w:rPr>
        <w:t>o</w:t>
      </w:r>
      <w:r w:rsidR="004A546D" w:rsidRPr="0090214A">
        <w:rPr>
          <w:rFonts w:cs="Arial"/>
          <w:sz w:val="22"/>
        </w:rPr>
        <w:t>n 11 January 2019, t</w:t>
      </w:r>
      <w:r w:rsidR="001037D3" w:rsidRPr="0090214A">
        <w:rPr>
          <w:rFonts w:cs="Arial"/>
          <w:sz w:val="22"/>
        </w:rPr>
        <w:t xml:space="preserve">he Council </w:t>
      </w:r>
      <w:r w:rsidR="00260B6A">
        <w:rPr>
          <w:rFonts w:cs="Arial"/>
          <w:sz w:val="22"/>
        </w:rPr>
        <w:t>informed</w:t>
      </w:r>
      <w:r w:rsidR="001037D3" w:rsidRPr="0090214A">
        <w:rPr>
          <w:rFonts w:cs="Arial"/>
          <w:sz w:val="22"/>
        </w:rPr>
        <w:t xml:space="preserve"> Schools’ Forum </w:t>
      </w:r>
      <w:r w:rsidR="00260B6A">
        <w:rPr>
          <w:rFonts w:cs="Arial"/>
          <w:sz w:val="22"/>
        </w:rPr>
        <w:t>of its intention to maintain</w:t>
      </w:r>
      <w:r w:rsidR="001037D3" w:rsidRPr="0090214A">
        <w:rPr>
          <w:rFonts w:cs="Arial"/>
          <w:sz w:val="22"/>
        </w:rPr>
        <w:t xml:space="preserve"> the disapplication request</w:t>
      </w:r>
      <w:r w:rsidR="004A546D" w:rsidRPr="0090214A">
        <w:rPr>
          <w:rFonts w:cs="Arial"/>
          <w:sz w:val="22"/>
        </w:rPr>
        <w:t xml:space="preserve"> as </w:t>
      </w:r>
      <w:r w:rsidR="00350EAD" w:rsidRPr="0090214A">
        <w:rPr>
          <w:rFonts w:cs="Arial"/>
          <w:sz w:val="22"/>
        </w:rPr>
        <w:t>previously submitted and reiterated</w:t>
      </w:r>
      <w:r w:rsidR="004A546D" w:rsidRPr="0090214A">
        <w:rPr>
          <w:rFonts w:cs="Arial"/>
          <w:sz w:val="22"/>
        </w:rPr>
        <w:t xml:space="preserve"> in this response</w:t>
      </w:r>
      <w:r w:rsidR="001037D3">
        <w:rPr>
          <w:rFonts w:cs="Arial"/>
          <w:sz w:val="22"/>
        </w:rPr>
        <w:t xml:space="preserve">. </w:t>
      </w:r>
      <w:r w:rsidR="006573C7" w:rsidRPr="005442A6">
        <w:rPr>
          <w:rFonts w:cs="Arial"/>
          <w:sz w:val="22"/>
        </w:rPr>
        <w:t>The table below sets out the cost pressures for 2019-20, above the HNB allocation.</w:t>
      </w:r>
    </w:p>
    <w:p w14:paraId="408A4F15" w14:textId="77777777" w:rsidR="006573C7" w:rsidRPr="005442A6" w:rsidRDefault="006573C7" w:rsidP="00F05E7B">
      <w:pPr>
        <w:pStyle w:val="NoSpacing"/>
        <w:jc w:val="both"/>
        <w:rPr>
          <w:rFonts w:cs="Arial"/>
          <w:sz w:val="22"/>
        </w:rPr>
      </w:pP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1282"/>
      </w:tblGrid>
      <w:tr w:rsidR="006573C7" w:rsidRPr="005442A6" w14:paraId="64F60081" w14:textId="77777777" w:rsidTr="000C6299">
        <w:trPr>
          <w:trHeight w:val="290"/>
          <w:jc w:val="center"/>
        </w:trPr>
        <w:tc>
          <w:tcPr>
            <w:tcW w:w="6301" w:type="dxa"/>
            <w:noWrap/>
            <w:vAlign w:val="center"/>
            <w:hideMark/>
          </w:tcPr>
          <w:p w14:paraId="15089E51" w14:textId="645AD0D5" w:rsidR="006573C7" w:rsidRPr="005442A6" w:rsidRDefault="001339E6" w:rsidP="00350EAD">
            <w:pPr>
              <w:keepNext/>
              <w:jc w:val="left"/>
              <w:rPr>
                <w:rFonts w:cs="Arial"/>
                <w:b/>
                <w:color w:val="000000"/>
                <w:sz w:val="22"/>
                <w:szCs w:val="22"/>
                <w:lang w:eastAsia="en-GB"/>
              </w:rPr>
            </w:pPr>
            <w:r>
              <w:rPr>
                <w:rFonts w:cs="Arial"/>
                <w:b/>
                <w:color w:val="000000"/>
                <w:sz w:val="22"/>
                <w:szCs w:val="22"/>
                <w:lang w:eastAsia="en-GB"/>
              </w:rPr>
              <w:lastRenderedPageBreak/>
              <w:t>Remaining cost p</w:t>
            </w:r>
            <w:r w:rsidR="006573C7" w:rsidRPr="005442A6">
              <w:rPr>
                <w:rFonts w:cs="Arial"/>
                <w:b/>
                <w:color w:val="000000"/>
                <w:sz w:val="22"/>
                <w:szCs w:val="22"/>
                <w:lang w:eastAsia="en-GB"/>
              </w:rPr>
              <w:t>ressures for 2019-20</w:t>
            </w:r>
          </w:p>
        </w:tc>
        <w:tc>
          <w:tcPr>
            <w:tcW w:w="1282" w:type="dxa"/>
            <w:noWrap/>
            <w:vAlign w:val="center"/>
            <w:hideMark/>
          </w:tcPr>
          <w:p w14:paraId="06AE3A0F" w14:textId="77777777" w:rsidR="006573C7" w:rsidRPr="005442A6" w:rsidRDefault="006573C7" w:rsidP="00350EAD">
            <w:pPr>
              <w:keepNext/>
              <w:jc w:val="center"/>
              <w:rPr>
                <w:rFonts w:cs="Arial"/>
                <w:b/>
                <w:color w:val="000000"/>
                <w:sz w:val="22"/>
                <w:szCs w:val="22"/>
                <w:lang w:eastAsia="en-GB"/>
              </w:rPr>
            </w:pPr>
            <w:r w:rsidRPr="005442A6">
              <w:rPr>
                <w:rFonts w:cs="Arial"/>
                <w:b/>
                <w:color w:val="000000"/>
                <w:sz w:val="22"/>
                <w:szCs w:val="22"/>
                <w:lang w:eastAsia="en-GB"/>
              </w:rPr>
              <w:t>£m</w:t>
            </w:r>
          </w:p>
        </w:tc>
      </w:tr>
      <w:tr w:rsidR="004774DB" w:rsidRPr="005442A6" w14:paraId="654A276C" w14:textId="77777777" w:rsidTr="000C6299">
        <w:trPr>
          <w:trHeight w:val="290"/>
          <w:jc w:val="center"/>
        </w:trPr>
        <w:tc>
          <w:tcPr>
            <w:tcW w:w="6301" w:type="dxa"/>
            <w:noWrap/>
            <w:vAlign w:val="center"/>
          </w:tcPr>
          <w:p w14:paraId="2B8C7A49" w14:textId="77777777" w:rsidR="004774DB" w:rsidRDefault="004774DB" w:rsidP="00350EAD">
            <w:pPr>
              <w:keepNext/>
              <w:jc w:val="left"/>
              <w:rPr>
                <w:rFonts w:cs="Arial"/>
                <w:b/>
                <w:color w:val="000000"/>
                <w:sz w:val="22"/>
                <w:szCs w:val="22"/>
                <w:lang w:eastAsia="en-GB"/>
              </w:rPr>
            </w:pPr>
          </w:p>
        </w:tc>
        <w:tc>
          <w:tcPr>
            <w:tcW w:w="1282" w:type="dxa"/>
            <w:noWrap/>
            <w:vAlign w:val="center"/>
          </w:tcPr>
          <w:p w14:paraId="473C09A0" w14:textId="77777777" w:rsidR="004774DB" w:rsidRPr="005442A6" w:rsidRDefault="004774DB" w:rsidP="00350EAD">
            <w:pPr>
              <w:keepNext/>
              <w:jc w:val="center"/>
              <w:rPr>
                <w:rFonts w:cs="Arial"/>
                <w:b/>
                <w:color w:val="000000"/>
                <w:sz w:val="22"/>
                <w:szCs w:val="22"/>
                <w:lang w:eastAsia="en-GB"/>
              </w:rPr>
            </w:pPr>
          </w:p>
        </w:tc>
      </w:tr>
      <w:tr w:rsidR="000C6299" w:rsidRPr="005442A6" w14:paraId="7932CA46" w14:textId="77777777" w:rsidTr="000C6299">
        <w:trPr>
          <w:trHeight w:val="290"/>
          <w:jc w:val="center"/>
        </w:trPr>
        <w:tc>
          <w:tcPr>
            <w:tcW w:w="6301" w:type="dxa"/>
            <w:noWrap/>
            <w:vAlign w:val="center"/>
          </w:tcPr>
          <w:p w14:paraId="4E380C6A" w14:textId="2AF7A307" w:rsidR="000C6299" w:rsidRPr="005442A6" w:rsidRDefault="000C6299" w:rsidP="00350EAD">
            <w:pPr>
              <w:keepNext/>
              <w:jc w:val="left"/>
              <w:rPr>
                <w:rFonts w:cs="Arial"/>
                <w:b/>
                <w:i/>
                <w:color w:val="000000"/>
                <w:sz w:val="22"/>
                <w:szCs w:val="22"/>
                <w:lang w:eastAsia="en-GB"/>
              </w:rPr>
            </w:pPr>
            <w:r w:rsidRPr="005442A6">
              <w:rPr>
                <w:rFonts w:cs="Arial"/>
                <w:b/>
                <w:i/>
                <w:color w:val="000000"/>
                <w:sz w:val="22"/>
                <w:szCs w:val="22"/>
                <w:lang w:eastAsia="en-GB"/>
              </w:rPr>
              <w:t xml:space="preserve">Cost </w:t>
            </w:r>
            <w:r w:rsidR="001339E6">
              <w:rPr>
                <w:rFonts w:cs="Arial"/>
                <w:b/>
                <w:i/>
                <w:color w:val="000000"/>
                <w:sz w:val="22"/>
                <w:szCs w:val="22"/>
                <w:lang w:eastAsia="en-GB"/>
              </w:rPr>
              <w:t>p</w:t>
            </w:r>
            <w:r w:rsidRPr="005442A6">
              <w:rPr>
                <w:rFonts w:cs="Arial"/>
                <w:b/>
                <w:i/>
                <w:color w:val="000000"/>
                <w:sz w:val="22"/>
                <w:szCs w:val="22"/>
                <w:lang w:eastAsia="en-GB"/>
              </w:rPr>
              <w:t>ressures</w:t>
            </w:r>
          </w:p>
        </w:tc>
        <w:tc>
          <w:tcPr>
            <w:tcW w:w="1282" w:type="dxa"/>
            <w:noWrap/>
            <w:vAlign w:val="center"/>
          </w:tcPr>
          <w:p w14:paraId="574124EF" w14:textId="77777777" w:rsidR="000C6299" w:rsidRPr="005442A6" w:rsidRDefault="000C6299" w:rsidP="00350EAD">
            <w:pPr>
              <w:keepNext/>
              <w:jc w:val="right"/>
              <w:rPr>
                <w:rFonts w:cs="Arial"/>
                <w:color w:val="000000"/>
                <w:sz w:val="22"/>
                <w:szCs w:val="22"/>
                <w:lang w:eastAsia="en-GB"/>
              </w:rPr>
            </w:pPr>
          </w:p>
        </w:tc>
      </w:tr>
      <w:tr w:rsidR="006573C7" w:rsidRPr="005442A6" w14:paraId="76753438" w14:textId="77777777" w:rsidTr="000C6299">
        <w:trPr>
          <w:trHeight w:val="290"/>
          <w:jc w:val="center"/>
        </w:trPr>
        <w:tc>
          <w:tcPr>
            <w:tcW w:w="6301" w:type="dxa"/>
            <w:noWrap/>
            <w:vAlign w:val="center"/>
          </w:tcPr>
          <w:p w14:paraId="2C86DD63" w14:textId="0851A00E"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 xml:space="preserve">Independent Special School places and Alternative </w:t>
            </w:r>
            <w:r w:rsidR="001339E6">
              <w:rPr>
                <w:rFonts w:cs="Arial"/>
                <w:color w:val="000000"/>
                <w:sz w:val="22"/>
                <w:szCs w:val="22"/>
                <w:lang w:eastAsia="en-GB"/>
              </w:rPr>
              <w:t>P</w:t>
            </w:r>
            <w:r w:rsidRPr="005442A6">
              <w:rPr>
                <w:rFonts w:cs="Arial"/>
                <w:color w:val="000000"/>
                <w:sz w:val="22"/>
                <w:szCs w:val="22"/>
                <w:lang w:eastAsia="en-GB"/>
              </w:rPr>
              <w:t>rovision</w:t>
            </w:r>
          </w:p>
        </w:tc>
        <w:tc>
          <w:tcPr>
            <w:tcW w:w="1282" w:type="dxa"/>
            <w:noWrap/>
            <w:vAlign w:val="center"/>
          </w:tcPr>
          <w:p w14:paraId="4CE7DF7A" w14:textId="22B67E35"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5.</w:t>
            </w:r>
            <w:r w:rsidR="00350EAD" w:rsidRPr="0090214A">
              <w:rPr>
                <w:rFonts w:cs="Arial"/>
                <w:color w:val="000000"/>
                <w:sz w:val="22"/>
                <w:szCs w:val="22"/>
                <w:lang w:eastAsia="en-GB"/>
              </w:rPr>
              <w:t>8</w:t>
            </w:r>
            <w:r w:rsidR="0000174D">
              <w:rPr>
                <w:rFonts w:cs="Arial"/>
                <w:color w:val="000000"/>
                <w:sz w:val="22"/>
                <w:szCs w:val="22"/>
                <w:lang w:eastAsia="en-GB"/>
              </w:rPr>
              <w:t>5</w:t>
            </w:r>
            <w:r w:rsidR="00350EAD" w:rsidRPr="0090214A">
              <w:rPr>
                <w:rFonts w:cs="Arial"/>
                <w:color w:val="000000"/>
                <w:sz w:val="22"/>
                <w:szCs w:val="22"/>
                <w:lang w:eastAsia="en-GB"/>
              </w:rPr>
              <w:t>7</w:t>
            </w:r>
          </w:p>
        </w:tc>
      </w:tr>
      <w:tr w:rsidR="006573C7" w:rsidRPr="005442A6" w14:paraId="4F37D607" w14:textId="77777777" w:rsidTr="000C6299">
        <w:trPr>
          <w:trHeight w:val="290"/>
          <w:jc w:val="center"/>
        </w:trPr>
        <w:tc>
          <w:tcPr>
            <w:tcW w:w="6301" w:type="dxa"/>
            <w:noWrap/>
            <w:vAlign w:val="center"/>
            <w:hideMark/>
          </w:tcPr>
          <w:p w14:paraId="09612D93"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Maintained Special School places</w:t>
            </w:r>
          </w:p>
        </w:tc>
        <w:tc>
          <w:tcPr>
            <w:tcW w:w="1282" w:type="dxa"/>
            <w:noWrap/>
            <w:vAlign w:val="center"/>
            <w:hideMark/>
          </w:tcPr>
          <w:p w14:paraId="701E2329"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3.318</w:t>
            </w:r>
          </w:p>
        </w:tc>
      </w:tr>
      <w:tr w:rsidR="006573C7" w:rsidRPr="005442A6" w14:paraId="6C3A8371" w14:textId="77777777" w:rsidTr="000C6299">
        <w:trPr>
          <w:trHeight w:val="290"/>
          <w:jc w:val="center"/>
        </w:trPr>
        <w:tc>
          <w:tcPr>
            <w:tcW w:w="6301" w:type="dxa"/>
            <w:noWrap/>
            <w:vAlign w:val="center"/>
            <w:hideMark/>
          </w:tcPr>
          <w:p w14:paraId="2C1AA761"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SEN top up funding to mainstream schools</w:t>
            </w:r>
          </w:p>
        </w:tc>
        <w:tc>
          <w:tcPr>
            <w:tcW w:w="1282" w:type="dxa"/>
            <w:noWrap/>
            <w:vAlign w:val="center"/>
            <w:hideMark/>
          </w:tcPr>
          <w:p w14:paraId="1594101A"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2.750</w:t>
            </w:r>
          </w:p>
        </w:tc>
      </w:tr>
      <w:tr w:rsidR="006573C7" w:rsidRPr="005442A6" w14:paraId="2F548FFD" w14:textId="77777777" w:rsidTr="000C6299">
        <w:trPr>
          <w:trHeight w:val="290"/>
          <w:jc w:val="center"/>
        </w:trPr>
        <w:tc>
          <w:tcPr>
            <w:tcW w:w="6301" w:type="dxa"/>
            <w:noWrap/>
            <w:vAlign w:val="center"/>
            <w:hideMark/>
          </w:tcPr>
          <w:p w14:paraId="1BD189A1" w14:textId="43ACB963" w:rsidR="006573C7" w:rsidRPr="005442A6" w:rsidRDefault="001339E6" w:rsidP="00350EAD">
            <w:pPr>
              <w:keepNext/>
              <w:jc w:val="left"/>
              <w:rPr>
                <w:rFonts w:cs="Arial"/>
                <w:color w:val="000000"/>
                <w:sz w:val="22"/>
                <w:szCs w:val="22"/>
                <w:lang w:eastAsia="en-GB"/>
              </w:rPr>
            </w:pPr>
            <w:r>
              <w:rPr>
                <w:rFonts w:cs="Arial"/>
                <w:color w:val="000000"/>
                <w:sz w:val="22"/>
                <w:szCs w:val="22"/>
                <w:lang w:eastAsia="en-GB"/>
              </w:rPr>
              <w:t>SEN top up fundi</w:t>
            </w:r>
            <w:r w:rsidR="006573C7" w:rsidRPr="005442A6">
              <w:rPr>
                <w:rFonts w:cs="Arial"/>
                <w:color w:val="000000"/>
                <w:sz w:val="22"/>
                <w:szCs w:val="22"/>
                <w:lang w:eastAsia="en-GB"/>
              </w:rPr>
              <w:t>ng to FE colleges</w:t>
            </w:r>
          </w:p>
        </w:tc>
        <w:tc>
          <w:tcPr>
            <w:tcW w:w="1282" w:type="dxa"/>
            <w:noWrap/>
            <w:vAlign w:val="center"/>
            <w:hideMark/>
          </w:tcPr>
          <w:p w14:paraId="50999777"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0.825</w:t>
            </w:r>
          </w:p>
        </w:tc>
      </w:tr>
      <w:tr w:rsidR="006573C7" w:rsidRPr="005442A6" w14:paraId="7814BDF8" w14:textId="77777777" w:rsidTr="000C6299">
        <w:trPr>
          <w:trHeight w:val="290"/>
          <w:jc w:val="center"/>
        </w:trPr>
        <w:tc>
          <w:tcPr>
            <w:tcW w:w="6301" w:type="dxa"/>
            <w:noWrap/>
            <w:vAlign w:val="center"/>
            <w:hideMark/>
          </w:tcPr>
          <w:p w14:paraId="5A24BBFE" w14:textId="0B6909DA" w:rsidR="006573C7" w:rsidRPr="005442A6" w:rsidRDefault="001339E6" w:rsidP="00350EAD">
            <w:pPr>
              <w:keepNext/>
              <w:jc w:val="left"/>
              <w:rPr>
                <w:rFonts w:cs="Arial"/>
                <w:color w:val="000000"/>
                <w:sz w:val="22"/>
                <w:szCs w:val="22"/>
                <w:lang w:eastAsia="en-GB"/>
              </w:rPr>
            </w:pPr>
            <w:r>
              <w:rPr>
                <w:rFonts w:cs="Arial"/>
                <w:color w:val="000000"/>
                <w:sz w:val="22"/>
                <w:szCs w:val="22"/>
                <w:lang w:eastAsia="en-GB"/>
              </w:rPr>
              <w:t>Local authority</w:t>
            </w:r>
            <w:r w:rsidR="006573C7" w:rsidRPr="005442A6">
              <w:rPr>
                <w:rFonts w:cs="Arial"/>
                <w:color w:val="000000"/>
                <w:sz w:val="22"/>
                <w:szCs w:val="22"/>
                <w:lang w:eastAsia="en-GB"/>
              </w:rPr>
              <w:t xml:space="preserve"> hosted services to schools</w:t>
            </w:r>
          </w:p>
        </w:tc>
        <w:tc>
          <w:tcPr>
            <w:tcW w:w="1282" w:type="dxa"/>
            <w:noWrap/>
            <w:vAlign w:val="center"/>
            <w:hideMark/>
          </w:tcPr>
          <w:p w14:paraId="4E4CEC5E"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0.131</w:t>
            </w:r>
          </w:p>
        </w:tc>
      </w:tr>
      <w:tr w:rsidR="006573C7" w:rsidRPr="005442A6" w14:paraId="0A0A2FF3" w14:textId="77777777" w:rsidTr="000C6299">
        <w:trPr>
          <w:trHeight w:val="290"/>
          <w:jc w:val="center"/>
        </w:trPr>
        <w:tc>
          <w:tcPr>
            <w:tcW w:w="6301" w:type="dxa"/>
            <w:noWrap/>
            <w:vAlign w:val="center"/>
            <w:hideMark/>
          </w:tcPr>
          <w:p w14:paraId="4EC8BB8B"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SEN units</w:t>
            </w:r>
          </w:p>
        </w:tc>
        <w:tc>
          <w:tcPr>
            <w:tcW w:w="1282" w:type="dxa"/>
            <w:noWrap/>
            <w:vAlign w:val="center"/>
            <w:hideMark/>
          </w:tcPr>
          <w:p w14:paraId="05CFA56E"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0.316</w:t>
            </w:r>
          </w:p>
        </w:tc>
      </w:tr>
      <w:tr w:rsidR="006573C7" w:rsidRPr="005442A6" w14:paraId="18BC37C3" w14:textId="77777777" w:rsidTr="000C6299">
        <w:trPr>
          <w:trHeight w:val="290"/>
          <w:jc w:val="center"/>
        </w:trPr>
        <w:tc>
          <w:tcPr>
            <w:tcW w:w="6301" w:type="dxa"/>
            <w:noWrap/>
            <w:vAlign w:val="center"/>
            <w:hideMark/>
          </w:tcPr>
          <w:p w14:paraId="43DE3F97"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Personal Budgets</w:t>
            </w:r>
          </w:p>
        </w:tc>
        <w:tc>
          <w:tcPr>
            <w:tcW w:w="1282" w:type="dxa"/>
            <w:noWrap/>
            <w:vAlign w:val="center"/>
            <w:hideMark/>
          </w:tcPr>
          <w:p w14:paraId="403A542E"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0.217</w:t>
            </w:r>
          </w:p>
        </w:tc>
      </w:tr>
      <w:tr w:rsidR="006573C7" w:rsidRPr="005442A6" w14:paraId="01229329" w14:textId="77777777" w:rsidTr="000C6299">
        <w:trPr>
          <w:trHeight w:val="290"/>
          <w:jc w:val="center"/>
        </w:trPr>
        <w:tc>
          <w:tcPr>
            <w:tcW w:w="6301" w:type="dxa"/>
            <w:noWrap/>
            <w:vAlign w:val="center"/>
            <w:hideMark/>
          </w:tcPr>
          <w:p w14:paraId="07B3FF85" w14:textId="77777777" w:rsidR="006573C7" w:rsidRPr="005442A6" w:rsidRDefault="006573C7" w:rsidP="00350EAD">
            <w:pPr>
              <w:keepNext/>
              <w:jc w:val="left"/>
              <w:rPr>
                <w:rFonts w:cs="Arial"/>
                <w:b/>
                <w:color w:val="000000"/>
                <w:sz w:val="22"/>
                <w:szCs w:val="22"/>
                <w:lang w:eastAsia="en-GB"/>
              </w:rPr>
            </w:pPr>
            <w:r w:rsidRPr="005442A6">
              <w:rPr>
                <w:rFonts w:cs="Arial"/>
                <w:b/>
                <w:color w:val="000000"/>
                <w:sz w:val="22"/>
                <w:szCs w:val="22"/>
                <w:lang w:eastAsia="en-GB"/>
              </w:rPr>
              <w:t>Total Cost</w:t>
            </w:r>
          </w:p>
        </w:tc>
        <w:tc>
          <w:tcPr>
            <w:tcW w:w="1282" w:type="dxa"/>
            <w:noWrap/>
            <w:vAlign w:val="center"/>
            <w:hideMark/>
          </w:tcPr>
          <w:p w14:paraId="1F5E5654" w14:textId="7675BE23" w:rsidR="006573C7" w:rsidRPr="0090214A" w:rsidRDefault="006573C7" w:rsidP="00350EAD">
            <w:pPr>
              <w:keepNext/>
              <w:jc w:val="right"/>
              <w:rPr>
                <w:rFonts w:cs="Arial"/>
                <w:b/>
                <w:color w:val="000000"/>
                <w:sz w:val="22"/>
                <w:szCs w:val="22"/>
                <w:lang w:eastAsia="en-GB"/>
              </w:rPr>
            </w:pPr>
            <w:r w:rsidRPr="0090214A">
              <w:rPr>
                <w:rFonts w:cs="Arial"/>
                <w:b/>
                <w:color w:val="000000"/>
                <w:sz w:val="22"/>
                <w:szCs w:val="22"/>
                <w:lang w:eastAsia="en-GB"/>
              </w:rPr>
              <w:t>13.4</w:t>
            </w:r>
            <w:r w:rsidR="0000174D">
              <w:rPr>
                <w:rFonts w:cs="Arial"/>
                <w:b/>
                <w:color w:val="000000"/>
                <w:sz w:val="22"/>
                <w:szCs w:val="22"/>
                <w:lang w:eastAsia="en-GB"/>
              </w:rPr>
              <w:t>14</w:t>
            </w:r>
          </w:p>
        </w:tc>
      </w:tr>
      <w:tr w:rsidR="006573C7" w:rsidRPr="005442A6" w14:paraId="3FDD0D46" w14:textId="77777777" w:rsidTr="000C6299">
        <w:trPr>
          <w:trHeight w:val="290"/>
          <w:jc w:val="center"/>
        </w:trPr>
        <w:tc>
          <w:tcPr>
            <w:tcW w:w="6301" w:type="dxa"/>
            <w:noWrap/>
            <w:vAlign w:val="center"/>
            <w:hideMark/>
          </w:tcPr>
          <w:p w14:paraId="267439AD"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 </w:t>
            </w:r>
          </w:p>
        </w:tc>
        <w:tc>
          <w:tcPr>
            <w:tcW w:w="1282" w:type="dxa"/>
            <w:noWrap/>
            <w:vAlign w:val="center"/>
            <w:hideMark/>
          </w:tcPr>
          <w:p w14:paraId="53D57B03"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 </w:t>
            </w:r>
          </w:p>
        </w:tc>
      </w:tr>
      <w:tr w:rsidR="000C6299" w:rsidRPr="005442A6" w14:paraId="7A1FD322" w14:textId="77777777" w:rsidTr="000C6299">
        <w:trPr>
          <w:trHeight w:val="290"/>
          <w:jc w:val="center"/>
        </w:trPr>
        <w:tc>
          <w:tcPr>
            <w:tcW w:w="6301" w:type="dxa"/>
            <w:noWrap/>
            <w:vAlign w:val="center"/>
          </w:tcPr>
          <w:p w14:paraId="1E531D3C" w14:textId="2AF29735" w:rsidR="000C6299" w:rsidRPr="005442A6" w:rsidRDefault="000C6299" w:rsidP="00350EAD">
            <w:pPr>
              <w:keepNext/>
              <w:jc w:val="left"/>
              <w:rPr>
                <w:rFonts w:cs="Arial"/>
                <w:b/>
                <w:i/>
                <w:color w:val="000000"/>
                <w:sz w:val="22"/>
                <w:szCs w:val="22"/>
                <w:lang w:eastAsia="en-GB"/>
              </w:rPr>
            </w:pPr>
            <w:r w:rsidRPr="005442A6">
              <w:rPr>
                <w:rFonts w:cs="Arial"/>
                <w:b/>
                <w:i/>
                <w:color w:val="000000"/>
                <w:sz w:val="22"/>
                <w:szCs w:val="22"/>
                <w:lang w:eastAsia="en-GB"/>
              </w:rPr>
              <w:t xml:space="preserve">Funding </w:t>
            </w:r>
            <w:r w:rsidR="001339E6">
              <w:rPr>
                <w:rFonts w:cs="Arial"/>
                <w:b/>
                <w:i/>
                <w:color w:val="000000"/>
                <w:sz w:val="22"/>
                <w:szCs w:val="22"/>
                <w:lang w:eastAsia="en-GB"/>
              </w:rPr>
              <w:t>s</w:t>
            </w:r>
            <w:r w:rsidRPr="005442A6">
              <w:rPr>
                <w:rFonts w:cs="Arial"/>
                <w:b/>
                <w:i/>
                <w:color w:val="000000"/>
                <w:sz w:val="22"/>
                <w:szCs w:val="22"/>
                <w:lang w:eastAsia="en-GB"/>
              </w:rPr>
              <w:t>ources</w:t>
            </w:r>
          </w:p>
        </w:tc>
        <w:tc>
          <w:tcPr>
            <w:tcW w:w="1282" w:type="dxa"/>
            <w:noWrap/>
            <w:vAlign w:val="center"/>
          </w:tcPr>
          <w:p w14:paraId="7595425D" w14:textId="77777777" w:rsidR="000C6299" w:rsidRPr="0090214A" w:rsidRDefault="000C6299" w:rsidP="00350EAD">
            <w:pPr>
              <w:keepNext/>
              <w:jc w:val="right"/>
              <w:rPr>
                <w:rFonts w:cs="Arial"/>
                <w:color w:val="000000"/>
                <w:sz w:val="22"/>
                <w:szCs w:val="22"/>
                <w:lang w:eastAsia="en-GB"/>
              </w:rPr>
            </w:pPr>
          </w:p>
        </w:tc>
      </w:tr>
      <w:tr w:rsidR="006573C7" w:rsidRPr="005442A6" w14:paraId="4DC59B59" w14:textId="77777777" w:rsidTr="000C6299">
        <w:trPr>
          <w:trHeight w:val="290"/>
          <w:jc w:val="center"/>
        </w:trPr>
        <w:tc>
          <w:tcPr>
            <w:tcW w:w="6301" w:type="dxa"/>
            <w:noWrap/>
            <w:vAlign w:val="center"/>
            <w:hideMark/>
          </w:tcPr>
          <w:p w14:paraId="31F3A82D"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Additional £1.8m announced 17 December 2018</w:t>
            </w:r>
          </w:p>
        </w:tc>
        <w:tc>
          <w:tcPr>
            <w:tcW w:w="1282" w:type="dxa"/>
            <w:noWrap/>
            <w:vAlign w:val="center"/>
            <w:hideMark/>
          </w:tcPr>
          <w:p w14:paraId="6B87A4AE" w14:textId="6AE3C8E0"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-1.</w:t>
            </w:r>
            <w:r w:rsidR="003E36AF" w:rsidRPr="0090214A">
              <w:rPr>
                <w:rFonts w:cs="Arial"/>
                <w:color w:val="000000"/>
                <w:sz w:val="22"/>
                <w:szCs w:val="22"/>
                <w:lang w:eastAsia="en-GB"/>
              </w:rPr>
              <w:t>80</w:t>
            </w:r>
            <w:r w:rsidR="003E36AF">
              <w:rPr>
                <w:rFonts w:cs="Arial"/>
                <w:color w:val="000000"/>
                <w:sz w:val="22"/>
                <w:szCs w:val="22"/>
                <w:lang w:eastAsia="en-GB"/>
              </w:rPr>
              <w:t>3</w:t>
            </w:r>
          </w:p>
        </w:tc>
      </w:tr>
      <w:tr w:rsidR="006573C7" w:rsidRPr="005442A6" w14:paraId="03C0B3CF" w14:textId="77777777" w:rsidTr="000C6299">
        <w:trPr>
          <w:trHeight w:val="290"/>
          <w:jc w:val="center"/>
        </w:trPr>
        <w:tc>
          <w:tcPr>
            <w:tcW w:w="6301" w:type="dxa"/>
            <w:noWrap/>
            <w:vAlign w:val="center"/>
            <w:hideMark/>
          </w:tcPr>
          <w:p w14:paraId="30E59427"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 xml:space="preserve">Growth and new places funding </w:t>
            </w:r>
          </w:p>
        </w:tc>
        <w:tc>
          <w:tcPr>
            <w:tcW w:w="1282" w:type="dxa"/>
            <w:noWrap/>
            <w:vAlign w:val="center"/>
            <w:hideMark/>
          </w:tcPr>
          <w:p w14:paraId="72716871"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-1.362</w:t>
            </w:r>
          </w:p>
        </w:tc>
      </w:tr>
      <w:tr w:rsidR="006573C7" w:rsidRPr="005442A6" w14:paraId="653E986E" w14:textId="77777777" w:rsidTr="000C6299">
        <w:trPr>
          <w:trHeight w:val="290"/>
          <w:jc w:val="center"/>
        </w:trPr>
        <w:tc>
          <w:tcPr>
            <w:tcW w:w="6301" w:type="dxa"/>
            <w:noWrap/>
            <w:vAlign w:val="center"/>
            <w:hideMark/>
          </w:tcPr>
          <w:p w14:paraId="12BED050" w14:textId="77777777" w:rsidR="006573C7" w:rsidRPr="005442A6" w:rsidRDefault="006573C7" w:rsidP="00350EAD">
            <w:pPr>
              <w:keepNext/>
              <w:jc w:val="left"/>
              <w:rPr>
                <w:rFonts w:cs="Arial"/>
                <w:color w:val="000000"/>
                <w:sz w:val="22"/>
                <w:szCs w:val="22"/>
                <w:lang w:eastAsia="en-GB"/>
              </w:rPr>
            </w:pPr>
            <w:r w:rsidRPr="005442A6">
              <w:rPr>
                <w:rFonts w:cs="Arial"/>
                <w:color w:val="000000"/>
                <w:sz w:val="22"/>
                <w:szCs w:val="22"/>
                <w:lang w:eastAsia="en-GB"/>
              </w:rPr>
              <w:t xml:space="preserve">Disapplication request </w:t>
            </w:r>
          </w:p>
        </w:tc>
        <w:tc>
          <w:tcPr>
            <w:tcW w:w="1282" w:type="dxa"/>
            <w:noWrap/>
            <w:vAlign w:val="center"/>
            <w:hideMark/>
          </w:tcPr>
          <w:p w14:paraId="3D4A44CF" w14:textId="77777777" w:rsidR="006573C7" w:rsidRPr="0090214A" w:rsidRDefault="006573C7" w:rsidP="00350EAD">
            <w:pPr>
              <w:keepNext/>
              <w:jc w:val="right"/>
              <w:rPr>
                <w:rFonts w:cs="Arial"/>
                <w:color w:val="000000"/>
                <w:sz w:val="22"/>
                <w:szCs w:val="22"/>
                <w:lang w:eastAsia="en-GB"/>
              </w:rPr>
            </w:pPr>
            <w:r w:rsidRPr="0090214A">
              <w:rPr>
                <w:rFonts w:cs="Arial"/>
                <w:color w:val="000000"/>
                <w:sz w:val="22"/>
                <w:szCs w:val="22"/>
                <w:lang w:eastAsia="en-GB"/>
              </w:rPr>
              <w:t>-4.580</w:t>
            </w:r>
          </w:p>
        </w:tc>
      </w:tr>
      <w:tr w:rsidR="006573C7" w:rsidRPr="005442A6" w14:paraId="49FA7965" w14:textId="77777777" w:rsidTr="000C6299">
        <w:trPr>
          <w:trHeight w:val="290"/>
          <w:jc w:val="center"/>
        </w:trPr>
        <w:tc>
          <w:tcPr>
            <w:tcW w:w="6301" w:type="dxa"/>
            <w:noWrap/>
            <w:vAlign w:val="center"/>
            <w:hideMark/>
          </w:tcPr>
          <w:p w14:paraId="2D6AAEFF" w14:textId="77777777" w:rsidR="006573C7" w:rsidRPr="005442A6" w:rsidRDefault="000C6299" w:rsidP="00350EAD">
            <w:pPr>
              <w:keepNext/>
              <w:jc w:val="left"/>
              <w:rPr>
                <w:rFonts w:cs="Arial"/>
                <w:b/>
                <w:color w:val="000000"/>
                <w:sz w:val="22"/>
                <w:szCs w:val="22"/>
                <w:lang w:eastAsia="en-GB"/>
              </w:rPr>
            </w:pPr>
            <w:r w:rsidRPr="005442A6">
              <w:rPr>
                <w:rFonts w:cs="Arial"/>
                <w:b/>
                <w:color w:val="000000"/>
                <w:sz w:val="22"/>
                <w:szCs w:val="22"/>
                <w:lang w:eastAsia="en-GB"/>
              </w:rPr>
              <w:t>Total Funding</w:t>
            </w:r>
          </w:p>
        </w:tc>
        <w:tc>
          <w:tcPr>
            <w:tcW w:w="1282" w:type="dxa"/>
            <w:noWrap/>
            <w:vAlign w:val="center"/>
            <w:hideMark/>
          </w:tcPr>
          <w:p w14:paraId="70C829DA" w14:textId="3F9E3ADA" w:rsidR="006573C7" w:rsidRPr="0090214A" w:rsidRDefault="000C6299" w:rsidP="00350EAD">
            <w:pPr>
              <w:keepNext/>
              <w:jc w:val="right"/>
              <w:rPr>
                <w:rFonts w:cs="Arial"/>
                <w:b/>
                <w:color w:val="000000"/>
                <w:sz w:val="22"/>
                <w:szCs w:val="22"/>
                <w:lang w:eastAsia="en-GB"/>
              </w:rPr>
            </w:pPr>
            <w:r w:rsidRPr="0090214A">
              <w:rPr>
                <w:rFonts w:cs="Arial"/>
                <w:b/>
                <w:color w:val="000000"/>
                <w:sz w:val="22"/>
                <w:szCs w:val="22"/>
                <w:lang w:eastAsia="en-GB"/>
              </w:rPr>
              <w:t>-7.</w:t>
            </w:r>
            <w:r w:rsidR="003E36AF" w:rsidRPr="0090214A">
              <w:rPr>
                <w:rFonts w:cs="Arial"/>
                <w:b/>
                <w:color w:val="000000"/>
                <w:sz w:val="22"/>
                <w:szCs w:val="22"/>
                <w:lang w:eastAsia="en-GB"/>
              </w:rPr>
              <w:t>74</w:t>
            </w:r>
            <w:r w:rsidR="003E36AF">
              <w:rPr>
                <w:rFonts w:cs="Arial"/>
                <w:b/>
                <w:color w:val="000000"/>
                <w:sz w:val="22"/>
                <w:szCs w:val="22"/>
                <w:lang w:eastAsia="en-GB"/>
              </w:rPr>
              <w:t>5</w:t>
            </w:r>
          </w:p>
        </w:tc>
      </w:tr>
      <w:tr w:rsidR="000C6299" w:rsidRPr="005442A6" w14:paraId="606F8F57" w14:textId="77777777" w:rsidTr="000C6299">
        <w:trPr>
          <w:trHeight w:val="290"/>
          <w:jc w:val="center"/>
        </w:trPr>
        <w:tc>
          <w:tcPr>
            <w:tcW w:w="6301" w:type="dxa"/>
            <w:noWrap/>
            <w:vAlign w:val="center"/>
          </w:tcPr>
          <w:p w14:paraId="290FF26E" w14:textId="77777777" w:rsidR="000C6299" w:rsidRPr="005442A6" w:rsidRDefault="000C6299" w:rsidP="00350EAD">
            <w:pPr>
              <w:keepNext/>
              <w:jc w:val="left"/>
              <w:rPr>
                <w:rFonts w:cs="Arial"/>
                <w:b/>
                <w:color w:val="000000"/>
                <w:sz w:val="22"/>
                <w:szCs w:val="22"/>
                <w:lang w:eastAsia="en-GB"/>
              </w:rPr>
            </w:pPr>
          </w:p>
        </w:tc>
        <w:tc>
          <w:tcPr>
            <w:tcW w:w="1282" w:type="dxa"/>
            <w:noWrap/>
            <w:vAlign w:val="center"/>
          </w:tcPr>
          <w:p w14:paraId="63D43E86" w14:textId="77777777" w:rsidR="000C6299" w:rsidRPr="0090214A" w:rsidRDefault="000C6299" w:rsidP="00350EAD">
            <w:pPr>
              <w:keepNext/>
              <w:jc w:val="right"/>
              <w:rPr>
                <w:rFonts w:cs="Arial"/>
                <w:b/>
                <w:color w:val="000000"/>
                <w:sz w:val="22"/>
                <w:szCs w:val="22"/>
                <w:lang w:eastAsia="en-GB"/>
              </w:rPr>
            </w:pPr>
          </w:p>
        </w:tc>
      </w:tr>
      <w:tr w:rsidR="006573C7" w:rsidRPr="005442A6" w14:paraId="2DB992CA" w14:textId="77777777" w:rsidTr="000C6299">
        <w:trPr>
          <w:trHeight w:val="290"/>
          <w:jc w:val="center"/>
        </w:trPr>
        <w:tc>
          <w:tcPr>
            <w:tcW w:w="6301" w:type="dxa"/>
            <w:noWrap/>
            <w:vAlign w:val="center"/>
            <w:hideMark/>
          </w:tcPr>
          <w:p w14:paraId="32DAF5B1" w14:textId="77777777" w:rsidR="006573C7" w:rsidRPr="005442A6" w:rsidRDefault="006573C7" w:rsidP="00350EAD">
            <w:pPr>
              <w:keepNext/>
              <w:jc w:val="left"/>
              <w:rPr>
                <w:rFonts w:cs="Arial"/>
                <w:b/>
                <w:bCs/>
                <w:color w:val="000000"/>
                <w:sz w:val="22"/>
                <w:szCs w:val="22"/>
                <w:lang w:eastAsia="en-GB"/>
              </w:rPr>
            </w:pPr>
            <w:r w:rsidRPr="005442A6">
              <w:rPr>
                <w:rFonts w:cs="Arial"/>
                <w:b/>
                <w:bCs/>
                <w:color w:val="000000"/>
                <w:sz w:val="22"/>
                <w:szCs w:val="22"/>
                <w:lang w:eastAsia="en-GB"/>
              </w:rPr>
              <w:t xml:space="preserve">Forecast </w:t>
            </w:r>
            <w:r w:rsidR="000C6299" w:rsidRPr="005442A6">
              <w:rPr>
                <w:rFonts w:cs="Arial"/>
                <w:b/>
                <w:bCs/>
                <w:color w:val="000000"/>
                <w:sz w:val="22"/>
                <w:szCs w:val="22"/>
                <w:lang w:eastAsia="en-GB"/>
              </w:rPr>
              <w:t>Deficit 2019-</w:t>
            </w:r>
            <w:r w:rsidRPr="005442A6">
              <w:rPr>
                <w:rFonts w:cs="Arial"/>
                <w:b/>
                <w:bCs/>
                <w:color w:val="000000"/>
                <w:sz w:val="22"/>
                <w:szCs w:val="22"/>
                <w:lang w:eastAsia="en-GB"/>
              </w:rPr>
              <w:t xml:space="preserve">20 </w:t>
            </w:r>
          </w:p>
        </w:tc>
        <w:tc>
          <w:tcPr>
            <w:tcW w:w="1282" w:type="dxa"/>
            <w:noWrap/>
            <w:vAlign w:val="center"/>
            <w:hideMark/>
          </w:tcPr>
          <w:p w14:paraId="15104F29" w14:textId="3444923D" w:rsidR="006573C7" w:rsidRPr="0090214A" w:rsidRDefault="006573C7" w:rsidP="00350EAD">
            <w:pPr>
              <w:keepNext/>
              <w:jc w:val="right"/>
              <w:rPr>
                <w:rFonts w:cs="Arial"/>
                <w:b/>
                <w:bCs/>
                <w:color w:val="000000"/>
                <w:sz w:val="22"/>
                <w:szCs w:val="22"/>
                <w:lang w:eastAsia="en-GB"/>
              </w:rPr>
            </w:pPr>
            <w:r w:rsidRPr="0090214A">
              <w:rPr>
                <w:rFonts w:cs="Arial"/>
                <w:b/>
                <w:bCs/>
                <w:color w:val="000000"/>
                <w:sz w:val="22"/>
                <w:szCs w:val="22"/>
                <w:lang w:eastAsia="en-GB"/>
              </w:rPr>
              <w:t>5.</w:t>
            </w:r>
            <w:r w:rsidR="003E36AF">
              <w:rPr>
                <w:rFonts w:cs="Arial"/>
                <w:b/>
                <w:bCs/>
                <w:color w:val="000000"/>
                <w:sz w:val="22"/>
                <w:szCs w:val="22"/>
                <w:lang w:eastAsia="en-GB"/>
              </w:rPr>
              <w:t>669</w:t>
            </w:r>
          </w:p>
        </w:tc>
      </w:tr>
    </w:tbl>
    <w:p w14:paraId="43412061" w14:textId="77777777" w:rsidR="006573C7" w:rsidRPr="005442A6" w:rsidRDefault="006573C7" w:rsidP="00F05E7B">
      <w:pPr>
        <w:pStyle w:val="NoSpacing"/>
        <w:jc w:val="both"/>
        <w:rPr>
          <w:rFonts w:cs="Arial"/>
          <w:sz w:val="22"/>
        </w:rPr>
      </w:pPr>
    </w:p>
    <w:p w14:paraId="348410A4" w14:textId="7FC6DCE1" w:rsidR="00394BA4" w:rsidRPr="004774DB" w:rsidRDefault="00394BA4" w:rsidP="00394BA4">
      <w:pPr>
        <w:pStyle w:val="NoSpacing"/>
        <w:jc w:val="both"/>
        <w:rPr>
          <w:rFonts w:cs="Arial"/>
          <w:sz w:val="22"/>
        </w:rPr>
      </w:pPr>
      <w:r w:rsidRPr="005442A6">
        <w:rPr>
          <w:rFonts w:cs="Arial"/>
          <w:sz w:val="22"/>
        </w:rPr>
        <w:t xml:space="preserve">Norfolk is </w:t>
      </w:r>
      <w:r w:rsidR="001339E6">
        <w:rPr>
          <w:rFonts w:cs="Arial"/>
          <w:sz w:val="22"/>
        </w:rPr>
        <w:t xml:space="preserve">already </w:t>
      </w:r>
      <w:r w:rsidRPr="005442A6">
        <w:rPr>
          <w:rFonts w:cs="Arial"/>
          <w:sz w:val="22"/>
        </w:rPr>
        <w:t xml:space="preserve">carrying an </w:t>
      </w:r>
      <w:r w:rsidRPr="0090214A">
        <w:rPr>
          <w:rFonts w:cs="Arial"/>
          <w:sz w:val="22"/>
        </w:rPr>
        <w:t>outstanding DSG deficit of £8.087m from previous financial years, with a forecast £5.</w:t>
      </w:r>
      <w:r w:rsidR="003E36AF" w:rsidRPr="0090214A">
        <w:rPr>
          <w:rFonts w:cs="Arial"/>
          <w:sz w:val="22"/>
        </w:rPr>
        <w:t>51</w:t>
      </w:r>
      <w:r w:rsidR="003E36AF">
        <w:rPr>
          <w:rFonts w:cs="Arial"/>
          <w:sz w:val="22"/>
        </w:rPr>
        <w:t>4</w:t>
      </w:r>
      <w:r w:rsidR="003E36AF" w:rsidRPr="0090214A">
        <w:rPr>
          <w:rFonts w:cs="Arial"/>
          <w:sz w:val="22"/>
        </w:rPr>
        <w:t xml:space="preserve">m </w:t>
      </w:r>
      <w:r w:rsidRPr="0090214A">
        <w:rPr>
          <w:rFonts w:cs="Arial"/>
          <w:sz w:val="22"/>
        </w:rPr>
        <w:t>deficit for 2018-19</w:t>
      </w:r>
      <w:r w:rsidR="001037D3" w:rsidRPr="0090214A">
        <w:rPr>
          <w:rFonts w:cs="Arial"/>
          <w:sz w:val="22"/>
        </w:rPr>
        <w:t xml:space="preserve"> (after </w:t>
      </w:r>
      <w:proofErr w:type="gramStart"/>
      <w:r w:rsidR="001037D3" w:rsidRPr="0090214A">
        <w:rPr>
          <w:rFonts w:cs="Arial"/>
          <w:sz w:val="22"/>
        </w:rPr>
        <w:t>taking into account</w:t>
      </w:r>
      <w:proofErr w:type="gramEnd"/>
      <w:r w:rsidR="001037D3" w:rsidRPr="0090214A">
        <w:rPr>
          <w:rFonts w:cs="Arial"/>
          <w:sz w:val="22"/>
        </w:rPr>
        <w:t xml:space="preserve"> the additional £1.</w:t>
      </w:r>
      <w:r w:rsidR="003E36AF" w:rsidRPr="0090214A">
        <w:rPr>
          <w:rFonts w:cs="Arial"/>
          <w:sz w:val="22"/>
        </w:rPr>
        <w:t>80</w:t>
      </w:r>
      <w:r w:rsidR="003E36AF">
        <w:rPr>
          <w:rFonts w:cs="Arial"/>
          <w:sz w:val="22"/>
        </w:rPr>
        <w:t>3</w:t>
      </w:r>
      <w:r w:rsidR="003E36AF" w:rsidRPr="0090214A">
        <w:rPr>
          <w:rFonts w:cs="Arial"/>
          <w:sz w:val="22"/>
        </w:rPr>
        <w:t xml:space="preserve">m </w:t>
      </w:r>
      <w:r w:rsidR="001037D3" w:rsidRPr="0090214A">
        <w:rPr>
          <w:rFonts w:cs="Arial"/>
          <w:sz w:val="22"/>
        </w:rPr>
        <w:t>funding announced for the current year)</w:t>
      </w:r>
      <w:r w:rsidRPr="0090214A">
        <w:rPr>
          <w:rFonts w:cs="Arial"/>
          <w:sz w:val="22"/>
        </w:rPr>
        <w:t>, meaning that the position at the start of 2019-20 will be a £13.</w:t>
      </w:r>
      <w:r w:rsidR="003E36AF" w:rsidRPr="0090214A">
        <w:rPr>
          <w:rFonts w:cs="Arial"/>
          <w:sz w:val="22"/>
        </w:rPr>
        <w:t>60</w:t>
      </w:r>
      <w:r w:rsidR="003E36AF">
        <w:rPr>
          <w:rFonts w:cs="Arial"/>
          <w:sz w:val="22"/>
        </w:rPr>
        <w:t>1</w:t>
      </w:r>
      <w:r w:rsidR="003E36AF" w:rsidRPr="0090214A">
        <w:rPr>
          <w:rFonts w:cs="Arial"/>
          <w:sz w:val="22"/>
        </w:rPr>
        <w:t xml:space="preserve">m </w:t>
      </w:r>
      <w:r w:rsidRPr="0090214A">
        <w:rPr>
          <w:rFonts w:cs="Arial"/>
          <w:sz w:val="22"/>
        </w:rPr>
        <w:t>deficit position. Even if the request to transfer £4.580m is successful, there remains a forecast deficit of £5.</w:t>
      </w:r>
      <w:r w:rsidR="003E36AF">
        <w:rPr>
          <w:rFonts w:cs="Arial"/>
          <w:sz w:val="22"/>
        </w:rPr>
        <w:t>669</w:t>
      </w:r>
      <w:r w:rsidR="003E36AF" w:rsidRPr="0090214A">
        <w:rPr>
          <w:rFonts w:cs="Arial"/>
          <w:sz w:val="22"/>
        </w:rPr>
        <w:t xml:space="preserve">m </w:t>
      </w:r>
      <w:r w:rsidRPr="0090214A">
        <w:rPr>
          <w:rFonts w:cs="Arial"/>
          <w:sz w:val="22"/>
        </w:rPr>
        <w:t xml:space="preserve">for 2019-20 as set out above. </w:t>
      </w:r>
      <w:r w:rsidR="001339E6" w:rsidRPr="0090214A">
        <w:rPr>
          <w:rFonts w:cs="Arial"/>
          <w:sz w:val="22"/>
        </w:rPr>
        <w:t>Left unmitigated, t</w:t>
      </w:r>
      <w:r w:rsidRPr="0090214A">
        <w:rPr>
          <w:rFonts w:cs="Arial"/>
          <w:sz w:val="22"/>
        </w:rPr>
        <w:t>his</w:t>
      </w:r>
      <w:r w:rsidR="00CC3705" w:rsidRPr="0090214A">
        <w:rPr>
          <w:rFonts w:cs="Arial"/>
          <w:sz w:val="22"/>
        </w:rPr>
        <w:t xml:space="preserve"> would</w:t>
      </w:r>
      <w:r w:rsidRPr="0090214A">
        <w:rPr>
          <w:rFonts w:cs="Arial"/>
          <w:sz w:val="22"/>
        </w:rPr>
        <w:t xml:space="preserve"> mean a total deficit position forecast at the end of 2019-20 of around £19.</w:t>
      </w:r>
      <w:r w:rsidR="003E36AF">
        <w:rPr>
          <w:rFonts w:cs="Arial"/>
          <w:sz w:val="22"/>
        </w:rPr>
        <w:t>270</w:t>
      </w:r>
      <w:r w:rsidR="003E36AF" w:rsidRPr="0090214A">
        <w:rPr>
          <w:rFonts w:cs="Arial"/>
          <w:sz w:val="22"/>
        </w:rPr>
        <w:t>m</w:t>
      </w:r>
      <w:r w:rsidRPr="0090214A">
        <w:rPr>
          <w:rFonts w:cs="Arial"/>
          <w:sz w:val="22"/>
        </w:rPr>
        <w:t>.</w:t>
      </w:r>
    </w:p>
    <w:p w14:paraId="497F3087" w14:textId="77777777" w:rsidR="00394BA4" w:rsidRDefault="00394BA4" w:rsidP="00394BA4">
      <w:pPr>
        <w:pStyle w:val="NoSpacing"/>
        <w:jc w:val="both"/>
        <w:rPr>
          <w:rFonts w:cs="Arial"/>
          <w:sz w:val="22"/>
        </w:rPr>
      </w:pPr>
    </w:p>
    <w:p w14:paraId="2F7599CA" w14:textId="32DA1F36" w:rsidR="00B715BC" w:rsidRDefault="00B715BC" w:rsidP="00B715BC">
      <w:pPr>
        <w:rPr>
          <w:rFonts w:cs="Arial"/>
          <w:sz w:val="22"/>
          <w:szCs w:val="22"/>
        </w:rPr>
      </w:pPr>
      <w:r w:rsidRPr="005442A6">
        <w:rPr>
          <w:rFonts w:cs="Arial"/>
          <w:sz w:val="22"/>
          <w:szCs w:val="22"/>
        </w:rPr>
        <w:t>Norfolk spends 89% of the HNB on high needs places in state special schools, independent sch</w:t>
      </w:r>
      <w:r>
        <w:rPr>
          <w:rFonts w:cs="Arial"/>
          <w:sz w:val="22"/>
          <w:szCs w:val="22"/>
        </w:rPr>
        <w:t>ools</w:t>
      </w:r>
      <w:r w:rsidR="001339E6">
        <w:rPr>
          <w:rFonts w:cs="Arial"/>
          <w:sz w:val="22"/>
          <w:szCs w:val="22"/>
        </w:rPr>
        <w:t>,</w:t>
      </w:r>
      <w:r>
        <w:rPr>
          <w:rFonts w:cs="Arial"/>
          <w:sz w:val="22"/>
          <w:szCs w:val="22"/>
        </w:rPr>
        <w:t xml:space="preserve"> and Alternative Provision.</w:t>
      </w:r>
      <w:r w:rsidRPr="005442A6">
        <w:rPr>
          <w:rFonts w:cs="Arial"/>
          <w:sz w:val="22"/>
          <w:szCs w:val="22"/>
        </w:rPr>
        <w:t xml:space="preserve"> </w:t>
      </w:r>
      <w:r>
        <w:rPr>
          <w:rFonts w:cs="Arial"/>
          <w:sz w:val="22"/>
          <w:szCs w:val="22"/>
        </w:rPr>
        <w:t xml:space="preserve">In this </w:t>
      </w:r>
      <w:r w:rsidRPr="004774DB">
        <w:rPr>
          <w:rFonts w:cs="Arial"/>
          <w:sz w:val="22"/>
          <w:szCs w:val="22"/>
        </w:rPr>
        <w:t xml:space="preserve">context it is important to note that </w:t>
      </w:r>
      <w:r w:rsidR="00F934B3" w:rsidRPr="004774DB">
        <w:rPr>
          <w:rFonts w:cs="Arial"/>
          <w:sz w:val="22"/>
          <w:szCs w:val="22"/>
        </w:rPr>
        <w:t xml:space="preserve">there is </w:t>
      </w:r>
      <w:r w:rsidRPr="004774DB">
        <w:rPr>
          <w:rFonts w:cs="Arial"/>
          <w:sz w:val="22"/>
          <w:szCs w:val="22"/>
        </w:rPr>
        <w:t>e</w:t>
      </w:r>
      <w:r w:rsidR="00F934B3" w:rsidRPr="004774DB">
        <w:rPr>
          <w:rFonts w:cs="Arial"/>
          <w:sz w:val="22"/>
          <w:szCs w:val="22"/>
        </w:rPr>
        <w:t>vid</w:t>
      </w:r>
      <w:r w:rsidRPr="004774DB">
        <w:rPr>
          <w:rFonts w:cs="Arial"/>
          <w:sz w:val="22"/>
          <w:szCs w:val="22"/>
        </w:rPr>
        <w:t xml:space="preserve">ence of </w:t>
      </w:r>
      <w:r w:rsidR="001339E6" w:rsidRPr="004774DB">
        <w:rPr>
          <w:rFonts w:cs="Arial"/>
          <w:sz w:val="22"/>
          <w:szCs w:val="22"/>
        </w:rPr>
        <w:t xml:space="preserve">a </w:t>
      </w:r>
      <w:r w:rsidRPr="004774DB">
        <w:rPr>
          <w:rFonts w:cs="Arial"/>
          <w:sz w:val="22"/>
          <w:szCs w:val="22"/>
        </w:rPr>
        <w:t xml:space="preserve">diversion of cost pressures from schools to HNB budgets. </w:t>
      </w:r>
      <w:r w:rsidR="00F934B3" w:rsidRPr="004774DB">
        <w:rPr>
          <w:rFonts w:cs="Arial"/>
          <w:sz w:val="22"/>
          <w:szCs w:val="22"/>
        </w:rPr>
        <w:t>From</w:t>
      </w:r>
      <w:r w:rsidR="00F934B3">
        <w:rPr>
          <w:rFonts w:cs="Arial"/>
          <w:sz w:val="22"/>
          <w:szCs w:val="22"/>
        </w:rPr>
        <w:t xml:space="preserve"> 2015-16 to 2018-19</w:t>
      </w:r>
      <w:r w:rsidRPr="005442A6">
        <w:rPr>
          <w:rFonts w:cs="Arial"/>
          <w:sz w:val="22"/>
          <w:szCs w:val="22"/>
        </w:rPr>
        <w:t xml:space="preserve"> there has been a 10% movement of pupils with an EHCP/statement from mainstream schools into high needs places. The provision of high needs places from 2015-16 to date has increased by 1,102, at a cost of £22.277m. </w:t>
      </w:r>
      <w:r w:rsidR="00F934B3">
        <w:rPr>
          <w:rFonts w:cs="Arial"/>
          <w:sz w:val="22"/>
          <w:szCs w:val="22"/>
        </w:rPr>
        <w:t>In the same period</w:t>
      </w:r>
      <w:r w:rsidRPr="005442A6">
        <w:rPr>
          <w:rFonts w:cs="Arial"/>
          <w:sz w:val="22"/>
          <w:szCs w:val="22"/>
        </w:rPr>
        <w:t>, the HNB has only increased by £12.039m. This results in a shortfall in funding of £10.238m, which has to date been covered in part by offsetting it against underspends on the Early Years block and the Schools block. T</w:t>
      </w:r>
      <w:r>
        <w:rPr>
          <w:rFonts w:cs="Arial"/>
          <w:sz w:val="22"/>
          <w:szCs w:val="22"/>
        </w:rPr>
        <w:t>o mitigate this position, t</w:t>
      </w:r>
      <w:r w:rsidRPr="005442A6">
        <w:rPr>
          <w:rFonts w:cs="Arial"/>
          <w:sz w:val="22"/>
          <w:szCs w:val="22"/>
        </w:rPr>
        <w:t xml:space="preserve">he Council has also reviewed the remaining 11% of the HNB, reviewed the SEN top-up funding paid to mainstream schools, and reviewed </w:t>
      </w:r>
      <w:proofErr w:type="gramStart"/>
      <w:r w:rsidRPr="005442A6">
        <w:rPr>
          <w:rFonts w:cs="Arial"/>
          <w:sz w:val="22"/>
          <w:szCs w:val="22"/>
        </w:rPr>
        <w:t>all of</w:t>
      </w:r>
      <w:proofErr w:type="gramEnd"/>
      <w:r w:rsidRPr="005442A6">
        <w:rPr>
          <w:rFonts w:cs="Arial"/>
          <w:sz w:val="22"/>
          <w:szCs w:val="22"/>
        </w:rPr>
        <w:t xml:space="preserve"> the services provided</w:t>
      </w:r>
      <w:r>
        <w:rPr>
          <w:rFonts w:cs="Arial"/>
          <w:sz w:val="22"/>
          <w:szCs w:val="22"/>
        </w:rPr>
        <w:t xml:space="preserve"> as a l</w:t>
      </w:r>
      <w:r w:rsidRPr="005442A6">
        <w:rPr>
          <w:rFonts w:cs="Arial"/>
          <w:sz w:val="22"/>
          <w:szCs w:val="22"/>
        </w:rPr>
        <w:t xml:space="preserve">ocal </w:t>
      </w:r>
      <w:r>
        <w:rPr>
          <w:rFonts w:cs="Arial"/>
          <w:sz w:val="22"/>
          <w:szCs w:val="22"/>
        </w:rPr>
        <w:t>a</w:t>
      </w:r>
      <w:r w:rsidRPr="005442A6">
        <w:rPr>
          <w:rFonts w:cs="Arial"/>
          <w:sz w:val="22"/>
          <w:szCs w:val="22"/>
        </w:rPr>
        <w:t>uthority direct to schools.</w:t>
      </w:r>
      <w:r w:rsidR="009C612D">
        <w:rPr>
          <w:rFonts w:cs="Arial"/>
          <w:sz w:val="22"/>
          <w:szCs w:val="22"/>
        </w:rPr>
        <w:t xml:space="preserve"> The overall position of the HNB</w:t>
      </w:r>
      <w:r w:rsidR="00C76E16">
        <w:rPr>
          <w:rFonts w:cs="Arial"/>
          <w:sz w:val="22"/>
          <w:szCs w:val="22"/>
        </w:rPr>
        <w:t>, including the forecast for 2018-19 and 2019-20,</w:t>
      </w:r>
      <w:r w:rsidR="009C612D">
        <w:rPr>
          <w:rFonts w:cs="Arial"/>
          <w:sz w:val="22"/>
          <w:szCs w:val="22"/>
        </w:rPr>
        <w:t xml:space="preserve"> is shown in the chart below.</w:t>
      </w:r>
    </w:p>
    <w:p w14:paraId="23E167B5" w14:textId="19544FC4" w:rsidR="009C612D" w:rsidRDefault="009C612D" w:rsidP="00B715BC">
      <w:pPr>
        <w:rPr>
          <w:rFonts w:cs="Arial"/>
          <w:sz w:val="22"/>
          <w:szCs w:val="22"/>
        </w:rPr>
      </w:pPr>
    </w:p>
    <w:p w14:paraId="5284D0D8" w14:textId="25073E97" w:rsidR="009C612D" w:rsidRPr="005442A6" w:rsidRDefault="003E36AF" w:rsidP="009C612D">
      <w:pPr>
        <w:jc w:val="center"/>
        <w:rPr>
          <w:rFonts w:cs="Arial"/>
          <w:sz w:val="22"/>
          <w:szCs w:val="22"/>
        </w:rPr>
      </w:pPr>
      <w:r>
        <w:rPr>
          <w:noProof/>
        </w:rPr>
        <w:lastRenderedPageBreak/>
        <w:drawing>
          <wp:inline distT="0" distB="0" distL="0" distR="0" wp14:anchorId="21F8E114" wp14:editId="7A69DF80">
            <wp:extent cx="4572000" cy="2743200"/>
            <wp:effectExtent l="0" t="0" r="0" b="0"/>
            <wp:docPr id="3" name="Chart 3" descr="Chart showing the amount of high needs block budget including agreed movement from schools as blue bars for each year by the amount in millions of pounds and number of places, with the overspend in red added to the bars above the blue. The number of high cost places is represented as a separate line that hits high in the blue for 2015-16 and 2016-17, and in the red overspend areas for 2017-18, 2018-19 and 2019-20.">
              <a:extLst xmlns:a="http://schemas.openxmlformats.org/drawingml/2006/main">
                <a:ext uri="{FF2B5EF4-FFF2-40B4-BE49-F238E27FC236}">
                  <a16:creationId xmlns:a16="http://schemas.microsoft.com/office/drawing/2014/main" id="{292F7A9B-8FB9-41E3-9F81-24FA0CF42B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999FB1" w14:textId="77777777" w:rsidR="00B715BC" w:rsidRPr="005442A6" w:rsidRDefault="00B715BC" w:rsidP="00394BA4">
      <w:pPr>
        <w:pStyle w:val="NoSpacing"/>
        <w:jc w:val="both"/>
        <w:rPr>
          <w:rFonts w:cs="Arial"/>
          <w:sz w:val="22"/>
        </w:rPr>
      </w:pPr>
    </w:p>
    <w:p w14:paraId="1CE66C20" w14:textId="30585817" w:rsidR="002311E6" w:rsidRDefault="00CC3705" w:rsidP="00394BA4">
      <w:pPr>
        <w:pStyle w:val="NoSpacing"/>
        <w:jc w:val="both"/>
        <w:rPr>
          <w:rFonts w:cs="Arial"/>
          <w:sz w:val="22"/>
        </w:rPr>
      </w:pPr>
      <w:r w:rsidRPr="00AC37CC">
        <w:rPr>
          <w:rFonts w:cs="Arial"/>
          <w:sz w:val="22"/>
        </w:rPr>
        <w:t xml:space="preserve">Recognising the scale of the challenge, </w:t>
      </w:r>
      <w:r w:rsidR="00394BA4" w:rsidRPr="00AC37CC">
        <w:rPr>
          <w:rFonts w:cs="Arial"/>
          <w:sz w:val="22"/>
        </w:rPr>
        <w:t xml:space="preserve">Norfolk County Council has </w:t>
      </w:r>
      <w:r w:rsidRPr="00AC37CC">
        <w:rPr>
          <w:rFonts w:cs="Arial"/>
          <w:sz w:val="22"/>
        </w:rPr>
        <w:t>identifie</w:t>
      </w:r>
      <w:r w:rsidR="00394BA4" w:rsidRPr="00AC37CC">
        <w:rPr>
          <w:rFonts w:cs="Arial"/>
          <w:sz w:val="22"/>
        </w:rPr>
        <w:t>d £3</w:t>
      </w:r>
      <w:r w:rsidR="004774DB" w:rsidRPr="00AC37CC">
        <w:rPr>
          <w:rFonts w:cs="Arial"/>
          <w:sz w:val="22"/>
        </w:rPr>
        <w:t>.000</w:t>
      </w:r>
      <w:r w:rsidR="00394BA4" w:rsidRPr="00AC37CC">
        <w:rPr>
          <w:rFonts w:cs="Arial"/>
          <w:sz w:val="22"/>
        </w:rPr>
        <w:t xml:space="preserve">m of </w:t>
      </w:r>
      <w:r w:rsidRPr="00AC37CC">
        <w:rPr>
          <w:rFonts w:cs="Arial"/>
          <w:sz w:val="22"/>
        </w:rPr>
        <w:t>local a</w:t>
      </w:r>
      <w:r w:rsidR="00394BA4" w:rsidRPr="00AC37CC">
        <w:rPr>
          <w:rFonts w:cs="Arial"/>
          <w:sz w:val="22"/>
        </w:rPr>
        <w:t xml:space="preserve">uthority </w:t>
      </w:r>
      <w:r w:rsidRPr="00AC37CC">
        <w:rPr>
          <w:rFonts w:cs="Arial"/>
          <w:sz w:val="22"/>
        </w:rPr>
        <w:t>resources</w:t>
      </w:r>
      <w:r w:rsidR="00394BA4" w:rsidRPr="00AC37CC">
        <w:rPr>
          <w:rFonts w:cs="Arial"/>
          <w:sz w:val="22"/>
        </w:rPr>
        <w:t xml:space="preserve"> </w:t>
      </w:r>
      <w:r w:rsidRPr="00AC37CC">
        <w:rPr>
          <w:rFonts w:cs="Arial"/>
          <w:sz w:val="22"/>
        </w:rPr>
        <w:t xml:space="preserve">within its budget planning for next year to </w:t>
      </w:r>
      <w:r w:rsidR="00260B6A" w:rsidRPr="00AC37CC">
        <w:rPr>
          <w:rFonts w:cs="Arial"/>
          <w:sz w:val="22"/>
        </w:rPr>
        <w:t>contribute towards supporting the HNB position, which includes £1m of funding in 2019-20 to enable the delivery of service transformation alongside the investment in new state special school places and additional SEN units</w:t>
      </w:r>
      <w:r w:rsidRPr="00AC37CC">
        <w:rPr>
          <w:rFonts w:cs="Arial"/>
          <w:sz w:val="22"/>
        </w:rPr>
        <w:t xml:space="preserve">. </w:t>
      </w:r>
      <w:r w:rsidR="009C2133" w:rsidRPr="00AC37CC">
        <w:rPr>
          <w:rFonts w:cs="Arial"/>
          <w:sz w:val="22"/>
        </w:rPr>
        <w:t>However</w:t>
      </w:r>
      <w:r w:rsidR="003A45C8" w:rsidRPr="00AC37CC">
        <w:rPr>
          <w:rFonts w:cs="Arial"/>
          <w:sz w:val="22"/>
        </w:rPr>
        <w:t>,</w:t>
      </w:r>
      <w:r w:rsidR="009C2133" w:rsidRPr="00AC37CC">
        <w:rPr>
          <w:rFonts w:cs="Arial"/>
          <w:sz w:val="22"/>
        </w:rPr>
        <w:t xml:space="preserve"> t</w:t>
      </w:r>
      <w:r w:rsidRPr="00AC37CC">
        <w:rPr>
          <w:rFonts w:cs="Arial"/>
          <w:sz w:val="22"/>
        </w:rPr>
        <w:t xml:space="preserve">he Council’s </w:t>
      </w:r>
      <w:r w:rsidR="009C2133" w:rsidRPr="00AC37CC">
        <w:rPr>
          <w:rFonts w:cs="Arial"/>
          <w:sz w:val="22"/>
        </w:rPr>
        <w:t xml:space="preserve">general fund </w:t>
      </w:r>
      <w:r w:rsidRPr="00AC37CC">
        <w:rPr>
          <w:rFonts w:cs="Arial"/>
          <w:sz w:val="22"/>
        </w:rPr>
        <w:t xml:space="preserve">budget is </w:t>
      </w:r>
      <w:r w:rsidR="009C2133" w:rsidRPr="00AC37CC">
        <w:rPr>
          <w:rFonts w:cs="Arial"/>
          <w:sz w:val="22"/>
        </w:rPr>
        <w:t xml:space="preserve">itself </w:t>
      </w:r>
      <w:r w:rsidRPr="00AC37CC">
        <w:rPr>
          <w:rFonts w:cs="Arial"/>
          <w:sz w:val="22"/>
        </w:rPr>
        <w:t>under very substantial pressure in 2019-20</w:t>
      </w:r>
      <w:r w:rsidR="004526CE" w:rsidRPr="00AC37CC">
        <w:rPr>
          <w:rFonts w:cs="Arial"/>
          <w:sz w:val="22"/>
        </w:rPr>
        <w:t xml:space="preserve"> and this represents the maximum amount the Council can provide to support HNB requirements.</w:t>
      </w:r>
      <w:r w:rsidR="009C2133" w:rsidRPr="00AC37CC">
        <w:rPr>
          <w:rFonts w:cs="Arial"/>
          <w:sz w:val="22"/>
        </w:rPr>
        <w:t xml:space="preserve"> It is not a viable or sustainable approach for local</w:t>
      </w:r>
      <w:r w:rsidR="003A45C8" w:rsidRPr="00AC37CC">
        <w:rPr>
          <w:rFonts w:cs="Arial"/>
          <w:sz w:val="22"/>
        </w:rPr>
        <w:t>ly raised</w:t>
      </w:r>
      <w:r w:rsidR="009C2133" w:rsidRPr="00AC37CC">
        <w:rPr>
          <w:rFonts w:cs="Arial"/>
          <w:sz w:val="22"/>
        </w:rPr>
        <w:t xml:space="preserve"> funding to be used to meet shortfalls in DSG and this is particularly</w:t>
      </w:r>
      <w:r w:rsidR="004526CE" w:rsidRPr="00AC37CC">
        <w:rPr>
          <w:rFonts w:cs="Arial"/>
          <w:sz w:val="22"/>
        </w:rPr>
        <w:t xml:space="preserve"> </w:t>
      </w:r>
      <w:r w:rsidR="009C2133" w:rsidRPr="00AC37CC">
        <w:rPr>
          <w:rFonts w:cs="Arial"/>
          <w:sz w:val="22"/>
        </w:rPr>
        <w:t>challenging in the context of the very acute pressures on all local authority budgets as a result of wider funding reductions from Government.</w:t>
      </w:r>
      <w:r w:rsidR="00E04489" w:rsidRPr="00AC37CC">
        <w:rPr>
          <w:rFonts w:cs="Arial"/>
          <w:sz w:val="22"/>
        </w:rPr>
        <w:t xml:space="preserve"> </w:t>
      </w:r>
      <w:r w:rsidR="004F4365">
        <w:rPr>
          <w:rFonts w:cs="Arial"/>
          <w:sz w:val="22"/>
        </w:rPr>
        <w:t>This demonstrates that the</w:t>
      </w:r>
      <w:r w:rsidR="004F4365" w:rsidRPr="00AC37CC">
        <w:rPr>
          <w:rFonts w:cs="Arial"/>
          <w:sz w:val="22"/>
        </w:rPr>
        <w:t xml:space="preserve"> </w:t>
      </w:r>
      <w:r w:rsidR="00E04489" w:rsidRPr="00AC37CC">
        <w:rPr>
          <w:rFonts w:cs="Arial"/>
          <w:sz w:val="22"/>
        </w:rPr>
        <w:t xml:space="preserve">Council </w:t>
      </w:r>
      <w:r w:rsidR="004F4365">
        <w:rPr>
          <w:rFonts w:cs="Arial"/>
          <w:sz w:val="22"/>
        </w:rPr>
        <w:t xml:space="preserve">is taking whatever action it reasonably can locally but </w:t>
      </w:r>
      <w:r w:rsidR="00E04489" w:rsidRPr="00AC37CC">
        <w:rPr>
          <w:rFonts w:cs="Arial"/>
          <w:sz w:val="22"/>
        </w:rPr>
        <w:t>recognises that it will not be possible to address these challenges in</w:t>
      </w:r>
      <w:r w:rsidR="00E04489" w:rsidRPr="0090214A">
        <w:rPr>
          <w:rFonts w:cs="Arial"/>
          <w:sz w:val="22"/>
        </w:rPr>
        <w:t xml:space="preserve"> isolation and </w:t>
      </w:r>
      <w:r w:rsidR="003A45C8" w:rsidRPr="0090214A">
        <w:rPr>
          <w:rFonts w:cs="Arial"/>
          <w:sz w:val="22"/>
        </w:rPr>
        <w:t xml:space="preserve">would </w:t>
      </w:r>
      <w:r w:rsidR="00E04489" w:rsidRPr="0090214A">
        <w:rPr>
          <w:rFonts w:cs="Arial"/>
          <w:sz w:val="22"/>
        </w:rPr>
        <w:t>welcome the opportunity to work with the Government to develop a solution</w:t>
      </w:r>
      <w:r w:rsidR="004F4365">
        <w:rPr>
          <w:rFonts w:cs="Arial"/>
          <w:sz w:val="22"/>
        </w:rPr>
        <w:t xml:space="preserve"> that will be effective for the future and last into the future</w:t>
      </w:r>
      <w:r w:rsidR="00E04489" w:rsidRPr="0090214A">
        <w:rPr>
          <w:rFonts w:cs="Arial"/>
          <w:sz w:val="22"/>
        </w:rPr>
        <w:t>.</w:t>
      </w:r>
      <w:r w:rsidR="004F4365">
        <w:rPr>
          <w:rFonts w:cs="Arial"/>
          <w:sz w:val="22"/>
        </w:rPr>
        <w:t xml:space="preserve"> This is a national as much as a local issue.</w:t>
      </w:r>
    </w:p>
    <w:p w14:paraId="6F08E24B" w14:textId="77777777" w:rsidR="002311E6" w:rsidRDefault="002311E6" w:rsidP="00394BA4">
      <w:pPr>
        <w:pStyle w:val="NoSpacing"/>
        <w:jc w:val="both"/>
        <w:rPr>
          <w:rFonts w:cs="Arial"/>
          <w:sz w:val="22"/>
        </w:rPr>
      </w:pPr>
    </w:p>
    <w:p w14:paraId="199023D1" w14:textId="5CCBD456" w:rsidR="009C2133" w:rsidRDefault="002311E6" w:rsidP="00394BA4">
      <w:pPr>
        <w:pStyle w:val="NoSpacing"/>
        <w:jc w:val="both"/>
        <w:rPr>
          <w:rFonts w:cs="Arial"/>
          <w:sz w:val="22"/>
        </w:rPr>
      </w:pPr>
      <w:r>
        <w:rPr>
          <w:rFonts w:cs="Arial"/>
          <w:sz w:val="22"/>
        </w:rPr>
        <w:t>As Section 151 Officer, t</w:t>
      </w:r>
      <w:r w:rsidRPr="002311E6">
        <w:rPr>
          <w:rFonts w:cs="Arial"/>
          <w:sz w:val="22"/>
        </w:rPr>
        <w:t xml:space="preserve">he Executive Director of Finance and Commercial Services is required by section 114 of the Local Government Finance Act 1988 to report to Members if it appears that the expenditure the authority proposes to incur in a financial year is likely to exceed the resources available to it to meet that expenditure. </w:t>
      </w:r>
      <w:r w:rsidR="002170F2">
        <w:rPr>
          <w:rFonts w:cs="Arial"/>
          <w:sz w:val="22"/>
        </w:rPr>
        <w:t>It is the</w:t>
      </w:r>
      <w:r w:rsidRPr="002311E6">
        <w:rPr>
          <w:rFonts w:cs="Arial"/>
          <w:sz w:val="22"/>
        </w:rPr>
        <w:t xml:space="preserve"> </w:t>
      </w:r>
      <w:r w:rsidR="00A62557">
        <w:rPr>
          <w:rFonts w:cs="Arial"/>
          <w:sz w:val="22"/>
        </w:rPr>
        <w:t>view</w:t>
      </w:r>
      <w:r w:rsidRPr="002311E6">
        <w:rPr>
          <w:rFonts w:cs="Arial"/>
          <w:sz w:val="22"/>
        </w:rPr>
        <w:t xml:space="preserve"> </w:t>
      </w:r>
      <w:r w:rsidR="002170F2">
        <w:rPr>
          <w:rFonts w:cs="Arial"/>
          <w:sz w:val="22"/>
        </w:rPr>
        <w:t>of the</w:t>
      </w:r>
      <w:r w:rsidRPr="002311E6">
        <w:rPr>
          <w:rFonts w:cs="Arial"/>
          <w:sz w:val="22"/>
        </w:rPr>
        <w:t xml:space="preserve"> Executive Director of Finance and Commercial Services </w:t>
      </w:r>
      <w:r w:rsidR="002170F2">
        <w:rPr>
          <w:rFonts w:cs="Arial"/>
          <w:sz w:val="22"/>
        </w:rPr>
        <w:t>that, if</w:t>
      </w:r>
      <w:r w:rsidRPr="002311E6">
        <w:rPr>
          <w:rFonts w:cs="Arial"/>
          <w:sz w:val="22"/>
        </w:rPr>
        <w:t xml:space="preserve"> </w:t>
      </w:r>
      <w:r w:rsidR="002170F2">
        <w:rPr>
          <w:rFonts w:cs="Arial"/>
          <w:sz w:val="22"/>
        </w:rPr>
        <w:t>l</w:t>
      </w:r>
      <w:r w:rsidR="00E04489" w:rsidRPr="0090214A">
        <w:rPr>
          <w:rFonts w:cs="Arial"/>
          <w:sz w:val="22"/>
        </w:rPr>
        <w:t xml:space="preserve">eft unresolved, the pressures and level of forecast overspend are such that the HNB position could represent a very real </w:t>
      </w:r>
      <w:r w:rsidR="003A45C8" w:rsidRPr="0090214A">
        <w:rPr>
          <w:rFonts w:cs="Arial"/>
          <w:sz w:val="22"/>
        </w:rPr>
        <w:t>medium-term</w:t>
      </w:r>
      <w:r w:rsidR="00E04489" w:rsidRPr="0090214A">
        <w:rPr>
          <w:rFonts w:cs="Arial"/>
          <w:sz w:val="22"/>
        </w:rPr>
        <w:t xml:space="preserve"> threat to the overall financial viability of the whole Council.</w:t>
      </w:r>
      <w:r w:rsidR="00A62557">
        <w:rPr>
          <w:rFonts w:cs="Arial"/>
          <w:sz w:val="22"/>
        </w:rPr>
        <w:t xml:space="preserve"> </w:t>
      </w:r>
      <w:r w:rsidR="00A62557" w:rsidRPr="00A62557">
        <w:rPr>
          <w:rFonts w:cs="Arial"/>
          <w:sz w:val="22"/>
        </w:rPr>
        <w:t xml:space="preserve">The level of deficit, even if the disapplication request </w:t>
      </w:r>
      <w:r w:rsidR="00A62557">
        <w:rPr>
          <w:rFonts w:cs="Arial"/>
          <w:sz w:val="22"/>
        </w:rPr>
        <w:t>were</w:t>
      </w:r>
      <w:r w:rsidR="00A62557" w:rsidRPr="00A62557">
        <w:rPr>
          <w:rFonts w:cs="Arial"/>
          <w:sz w:val="22"/>
        </w:rPr>
        <w:t xml:space="preserve"> approved in full, will still be rising</w:t>
      </w:r>
      <w:r w:rsidR="00A62557">
        <w:rPr>
          <w:rFonts w:cs="Arial"/>
          <w:sz w:val="22"/>
        </w:rPr>
        <w:t>, and the Council’s external auditors are beginning to ask questions about the position. The DfE’s decision on the Council’s disapplication request will therefore have a very significant bearing on the Executive Director of Finance and Commercial Services’ judgement about the Council’s financial resilience and the robustness of its Budget.</w:t>
      </w:r>
    </w:p>
    <w:p w14:paraId="129DD444" w14:textId="4BE4F331" w:rsidR="004F4365" w:rsidRDefault="004F4365" w:rsidP="00394BA4">
      <w:pPr>
        <w:pStyle w:val="NoSpacing"/>
        <w:jc w:val="both"/>
        <w:rPr>
          <w:rFonts w:cs="Arial"/>
          <w:sz w:val="22"/>
        </w:rPr>
      </w:pPr>
    </w:p>
    <w:p w14:paraId="29528B60" w14:textId="63872589" w:rsidR="004F4365" w:rsidRPr="0090214A" w:rsidRDefault="004F4365" w:rsidP="00394BA4">
      <w:pPr>
        <w:pStyle w:val="NoSpacing"/>
        <w:jc w:val="both"/>
        <w:rPr>
          <w:rFonts w:cs="Arial"/>
          <w:sz w:val="22"/>
        </w:rPr>
      </w:pPr>
      <w:r>
        <w:rPr>
          <w:rFonts w:cs="Arial"/>
          <w:sz w:val="22"/>
        </w:rPr>
        <w:t>The Leader and all Norfolk County Councillors have no desire to see this resilience disturbed with the authority being put into a difficult financial position through no fault of its own. As was said above this is not just a local issue but a national issue that needs to be resolved on that basis.</w:t>
      </w:r>
    </w:p>
    <w:p w14:paraId="49BACC96" w14:textId="77777777" w:rsidR="009C2133" w:rsidRPr="0090214A" w:rsidRDefault="009C2133" w:rsidP="00394BA4">
      <w:pPr>
        <w:pStyle w:val="NoSpacing"/>
        <w:jc w:val="both"/>
        <w:rPr>
          <w:rFonts w:cs="Arial"/>
          <w:sz w:val="22"/>
        </w:rPr>
      </w:pPr>
    </w:p>
    <w:p w14:paraId="1E477128" w14:textId="14AADBC2" w:rsidR="009C2133" w:rsidRPr="0090214A" w:rsidRDefault="009C2133" w:rsidP="00394BA4">
      <w:pPr>
        <w:pStyle w:val="NoSpacing"/>
        <w:jc w:val="both"/>
        <w:rPr>
          <w:rFonts w:cs="Arial"/>
          <w:sz w:val="22"/>
        </w:rPr>
      </w:pPr>
      <w:r w:rsidRPr="0090214A">
        <w:rPr>
          <w:rFonts w:cs="Arial"/>
          <w:sz w:val="22"/>
        </w:rPr>
        <w:t xml:space="preserve">As set out in the Council’s response to the recent consultation on the implementation of new arrangements for reporting deficits of the DSG, Norfolk </w:t>
      </w:r>
      <w:r w:rsidR="00E04489" w:rsidRPr="0090214A">
        <w:rPr>
          <w:rFonts w:cs="Arial"/>
          <w:sz w:val="22"/>
        </w:rPr>
        <w:t>understands</w:t>
      </w:r>
      <w:r w:rsidRPr="0090214A">
        <w:rPr>
          <w:rFonts w:cs="Arial"/>
          <w:sz w:val="22"/>
        </w:rPr>
        <w:t xml:space="preserve"> that moving money out of direct school budgets to </w:t>
      </w:r>
      <w:r w:rsidR="00B715BC" w:rsidRPr="0090214A">
        <w:rPr>
          <w:rFonts w:cs="Arial"/>
          <w:sz w:val="22"/>
        </w:rPr>
        <w:t>deal</w:t>
      </w:r>
      <w:r w:rsidRPr="0090214A">
        <w:rPr>
          <w:rFonts w:cs="Arial"/>
          <w:sz w:val="22"/>
        </w:rPr>
        <w:t xml:space="preserve"> with this pressure is not an ideal or sustainable solution, but equally the DfE must acknowledge that neither are local authority budgets </w:t>
      </w:r>
      <w:r w:rsidR="004A4F19" w:rsidRPr="0090214A">
        <w:rPr>
          <w:rFonts w:cs="Arial"/>
          <w:sz w:val="22"/>
        </w:rPr>
        <w:t>in a position</w:t>
      </w:r>
      <w:r w:rsidRPr="0090214A">
        <w:rPr>
          <w:rFonts w:cs="Arial"/>
          <w:sz w:val="22"/>
        </w:rPr>
        <w:t xml:space="preserve"> to meet this shortfall. Decision</w:t>
      </w:r>
      <w:r w:rsidR="004A4F19" w:rsidRPr="0090214A">
        <w:rPr>
          <w:rFonts w:cs="Arial"/>
          <w:sz w:val="22"/>
        </w:rPr>
        <w:t>s</w:t>
      </w:r>
      <w:r w:rsidRPr="0090214A">
        <w:rPr>
          <w:rFonts w:cs="Arial"/>
          <w:sz w:val="22"/>
        </w:rPr>
        <w:t xml:space="preserve"> to fund DSG from local resources </w:t>
      </w:r>
      <w:r w:rsidR="004A4F19" w:rsidRPr="0090214A">
        <w:rPr>
          <w:rFonts w:cs="Arial"/>
          <w:sz w:val="22"/>
        </w:rPr>
        <w:t xml:space="preserve">will </w:t>
      </w:r>
      <w:r w:rsidRPr="0090214A">
        <w:rPr>
          <w:rFonts w:cs="Arial"/>
          <w:sz w:val="22"/>
        </w:rPr>
        <w:t xml:space="preserve">inevitably have an impact on </w:t>
      </w:r>
      <w:r w:rsidRPr="0090214A">
        <w:rPr>
          <w:rFonts w:cs="Arial"/>
          <w:sz w:val="22"/>
        </w:rPr>
        <w:lastRenderedPageBreak/>
        <w:t>other vital services delivered</w:t>
      </w:r>
      <w:r w:rsidR="004A4F19" w:rsidRPr="0090214A">
        <w:rPr>
          <w:rFonts w:cs="Arial"/>
          <w:sz w:val="22"/>
        </w:rPr>
        <w:t xml:space="preserve"> by the Council, and </w:t>
      </w:r>
      <w:proofErr w:type="gramStart"/>
      <w:r w:rsidR="004A4F19" w:rsidRPr="0090214A">
        <w:rPr>
          <w:rFonts w:cs="Arial"/>
          <w:sz w:val="22"/>
        </w:rPr>
        <w:t>in the event th</w:t>
      </w:r>
      <w:r w:rsidR="003A45C8" w:rsidRPr="0090214A">
        <w:rPr>
          <w:rFonts w:cs="Arial"/>
          <w:sz w:val="22"/>
        </w:rPr>
        <w:t>at</w:t>
      </w:r>
      <w:proofErr w:type="gramEnd"/>
      <w:r w:rsidR="003A45C8" w:rsidRPr="0090214A">
        <w:rPr>
          <w:rFonts w:cs="Arial"/>
          <w:sz w:val="22"/>
        </w:rPr>
        <w:t xml:space="preserve"> the disapplication request were</w:t>
      </w:r>
      <w:r w:rsidR="004A4F19" w:rsidRPr="0090214A">
        <w:rPr>
          <w:rFonts w:cs="Arial"/>
          <w:sz w:val="22"/>
        </w:rPr>
        <w:t xml:space="preserve"> unsuccessful, it would have a very significant impact on Children’s Services council funded budgets</w:t>
      </w:r>
      <w:r w:rsidR="00651403" w:rsidRPr="0090214A">
        <w:rPr>
          <w:rFonts w:cs="Arial"/>
          <w:sz w:val="22"/>
        </w:rPr>
        <w:t xml:space="preserve"> in particular</w:t>
      </w:r>
      <w:r w:rsidRPr="0090214A">
        <w:rPr>
          <w:rFonts w:cs="Arial"/>
          <w:sz w:val="22"/>
        </w:rPr>
        <w:t>.</w:t>
      </w:r>
      <w:r w:rsidR="008A7DB4" w:rsidRPr="0090214A">
        <w:rPr>
          <w:rFonts w:cs="Arial"/>
          <w:sz w:val="22"/>
        </w:rPr>
        <w:t xml:space="preserve"> The Council’s disapplication request has been submitted </w:t>
      </w:r>
      <w:proofErr w:type="gramStart"/>
      <w:r w:rsidR="008A7DB4" w:rsidRPr="0090214A">
        <w:rPr>
          <w:rFonts w:cs="Arial"/>
          <w:sz w:val="22"/>
        </w:rPr>
        <w:t>on the basis of</w:t>
      </w:r>
      <w:proofErr w:type="gramEnd"/>
      <w:r w:rsidR="008A7DB4" w:rsidRPr="0090214A">
        <w:rPr>
          <w:rFonts w:cs="Arial"/>
          <w:sz w:val="22"/>
        </w:rPr>
        <w:t xml:space="preserve"> working in collaboration with Schools’ Forum, and the level of the request is reflective of this. However, it should be noted that if the Council were </w:t>
      </w:r>
      <w:r w:rsidR="00350EAD" w:rsidRPr="0090214A">
        <w:rPr>
          <w:rFonts w:cs="Arial"/>
          <w:sz w:val="22"/>
        </w:rPr>
        <w:t>free to operate</w:t>
      </w:r>
      <w:r w:rsidR="008A7DB4" w:rsidRPr="0090214A">
        <w:rPr>
          <w:rFonts w:cs="Arial"/>
          <w:sz w:val="22"/>
        </w:rPr>
        <w:t xml:space="preserve"> </w:t>
      </w:r>
      <w:r w:rsidR="00350EAD" w:rsidRPr="0090214A">
        <w:rPr>
          <w:rFonts w:cs="Arial"/>
          <w:sz w:val="22"/>
        </w:rPr>
        <w:t>without regard to the pressures being experienced within wider school budgets</w:t>
      </w:r>
      <w:r w:rsidR="008A7DB4" w:rsidRPr="0090214A">
        <w:rPr>
          <w:rFonts w:cs="Arial"/>
          <w:sz w:val="22"/>
        </w:rPr>
        <w:t xml:space="preserve">, the level of the request would </w:t>
      </w:r>
      <w:proofErr w:type="gramStart"/>
      <w:r w:rsidR="00350EAD" w:rsidRPr="0090214A">
        <w:rPr>
          <w:rFonts w:cs="Arial"/>
          <w:sz w:val="22"/>
        </w:rPr>
        <w:t xml:space="preserve">actually </w:t>
      </w:r>
      <w:r w:rsidR="008A7DB4" w:rsidRPr="0090214A">
        <w:rPr>
          <w:rFonts w:cs="Arial"/>
          <w:sz w:val="22"/>
        </w:rPr>
        <w:t>have</w:t>
      </w:r>
      <w:proofErr w:type="gramEnd"/>
      <w:r w:rsidR="008A7DB4" w:rsidRPr="0090214A">
        <w:rPr>
          <w:rFonts w:cs="Arial"/>
          <w:sz w:val="22"/>
        </w:rPr>
        <w:t xml:space="preserve"> been</w:t>
      </w:r>
      <w:r w:rsidR="00350EAD" w:rsidRPr="0090214A">
        <w:rPr>
          <w:rFonts w:cs="Arial"/>
          <w:sz w:val="22"/>
        </w:rPr>
        <w:t xml:space="preserve"> significantly</w:t>
      </w:r>
      <w:r w:rsidR="008A7DB4" w:rsidRPr="0090214A">
        <w:rPr>
          <w:rFonts w:cs="Arial"/>
          <w:sz w:val="22"/>
        </w:rPr>
        <w:t xml:space="preserve"> higher in order to fully address the deficit position</w:t>
      </w:r>
      <w:r w:rsidR="00350EAD" w:rsidRPr="0090214A">
        <w:rPr>
          <w:rFonts w:cs="Arial"/>
          <w:sz w:val="22"/>
        </w:rPr>
        <w:t xml:space="preserve"> and the serious underfunding experienced within HNB budgets</w:t>
      </w:r>
      <w:r w:rsidR="008A7DB4" w:rsidRPr="0090214A">
        <w:rPr>
          <w:rFonts w:cs="Arial"/>
          <w:sz w:val="22"/>
        </w:rPr>
        <w:t>.</w:t>
      </w:r>
    </w:p>
    <w:p w14:paraId="35CCDD21" w14:textId="77777777" w:rsidR="009C2133" w:rsidRPr="0090214A" w:rsidRDefault="009C2133" w:rsidP="00394BA4">
      <w:pPr>
        <w:pStyle w:val="NoSpacing"/>
        <w:jc w:val="both"/>
        <w:rPr>
          <w:rFonts w:cs="Arial"/>
          <w:sz w:val="22"/>
        </w:rPr>
      </w:pPr>
    </w:p>
    <w:p w14:paraId="0F4C0D6A" w14:textId="52B7F66C" w:rsidR="00651403" w:rsidRDefault="00651403" w:rsidP="00651403">
      <w:pPr>
        <w:rPr>
          <w:rFonts w:cs="Arial"/>
          <w:sz w:val="22"/>
          <w:szCs w:val="22"/>
        </w:rPr>
      </w:pPr>
      <w:r w:rsidRPr="0090214A">
        <w:rPr>
          <w:rFonts w:cs="Arial"/>
          <w:sz w:val="22"/>
          <w:szCs w:val="22"/>
        </w:rPr>
        <w:t xml:space="preserve">The </w:t>
      </w:r>
      <w:r w:rsidR="00B715BC" w:rsidRPr="0090214A">
        <w:rPr>
          <w:rFonts w:cs="Arial"/>
          <w:sz w:val="22"/>
          <w:szCs w:val="22"/>
        </w:rPr>
        <w:t>Council’</w:t>
      </w:r>
      <w:r w:rsidRPr="0090214A">
        <w:rPr>
          <w:rFonts w:cs="Arial"/>
          <w:sz w:val="22"/>
          <w:szCs w:val="22"/>
        </w:rPr>
        <w:t xml:space="preserve">s </w:t>
      </w:r>
      <w:r w:rsidR="00B715BC" w:rsidRPr="0090214A">
        <w:rPr>
          <w:rFonts w:cs="Arial"/>
          <w:sz w:val="22"/>
          <w:szCs w:val="22"/>
        </w:rPr>
        <w:t>plans</w:t>
      </w:r>
      <w:r w:rsidR="003A45C8" w:rsidRPr="0090214A">
        <w:rPr>
          <w:rFonts w:cs="Arial"/>
          <w:sz w:val="22"/>
          <w:szCs w:val="22"/>
        </w:rPr>
        <w:t xml:space="preserve"> to balance the HNB</w:t>
      </w:r>
      <w:r w:rsidR="00B715BC" w:rsidRPr="0090214A">
        <w:rPr>
          <w:rFonts w:cs="Arial"/>
          <w:sz w:val="22"/>
          <w:szCs w:val="22"/>
        </w:rPr>
        <w:t xml:space="preserve"> are based on</w:t>
      </w:r>
      <w:r w:rsidRPr="0090214A">
        <w:rPr>
          <w:rFonts w:cs="Arial"/>
          <w:sz w:val="22"/>
          <w:szCs w:val="22"/>
        </w:rPr>
        <w:t xml:space="preserve"> a </w:t>
      </w:r>
      <w:r w:rsidR="00B715BC" w:rsidRPr="0090214A">
        <w:rPr>
          <w:rFonts w:cs="Arial"/>
          <w:sz w:val="22"/>
          <w:szCs w:val="22"/>
        </w:rPr>
        <w:t>five-year</w:t>
      </w:r>
      <w:r w:rsidRPr="0090214A">
        <w:rPr>
          <w:rFonts w:cs="Arial"/>
          <w:sz w:val="22"/>
          <w:szCs w:val="22"/>
        </w:rPr>
        <w:t xml:space="preserve"> recovery plan, </w:t>
      </w:r>
      <w:r w:rsidR="00B715BC" w:rsidRPr="0090214A">
        <w:rPr>
          <w:rFonts w:cs="Arial"/>
          <w:sz w:val="22"/>
          <w:szCs w:val="22"/>
        </w:rPr>
        <w:t>recognising</w:t>
      </w:r>
      <w:r w:rsidRPr="0090214A">
        <w:rPr>
          <w:rFonts w:cs="Arial"/>
          <w:sz w:val="22"/>
          <w:szCs w:val="22"/>
        </w:rPr>
        <w:t xml:space="preserve"> the scale of the demand for specialist education and support.  A significant factor in Norfolk is an over</w:t>
      </w:r>
      <w:r w:rsidR="008C2F54" w:rsidRPr="0090214A">
        <w:rPr>
          <w:rFonts w:cs="Arial"/>
          <w:sz w:val="22"/>
          <w:szCs w:val="22"/>
        </w:rPr>
        <w:t>-</w:t>
      </w:r>
      <w:r w:rsidRPr="0090214A">
        <w:rPr>
          <w:rFonts w:cs="Arial"/>
          <w:sz w:val="22"/>
          <w:szCs w:val="22"/>
        </w:rPr>
        <w:t>reliance on the independent special school sector, with places costing an average of £40</w:t>
      </w:r>
      <w:r w:rsidR="00B715BC" w:rsidRPr="0090214A">
        <w:rPr>
          <w:rFonts w:cs="Arial"/>
          <w:sz w:val="22"/>
          <w:szCs w:val="22"/>
        </w:rPr>
        <w:t>,000 per place as opposed to local</w:t>
      </w:r>
      <w:r w:rsidRPr="0090214A">
        <w:rPr>
          <w:rFonts w:cs="Arial"/>
          <w:sz w:val="22"/>
          <w:szCs w:val="22"/>
        </w:rPr>
        <w:t xml:space="preserve"> state special schools at an average of £16,</w:t>
      </w:r>
      <w:r w:rsidR="00B715BC" w:rsidRPr="0090214A">
        <w:rPr>
          <w:rFonts w:cs="Arial"/>
          <w:sz w:val="22"/>
          <w:szCs w:val="22"/>
        </w:rPr>
        <w:t>000 per place, which are mostly</w:t>
      </w:r>
      <w:r w:rsidRPr="0090214A">
        <w:rPr>
          <w:rFonts w:cs="Arial"/>
          <w:sz w:val="22"/>
          <w:szCs w:val="22"/>
        </w:rPr>
        <w:t xml:space="preserve"> rated as good or outstanding. </w:t>
      </w:r>
      <w:r w:rsidR="00B715BC" w:rsidRPr="0090214A">
        <w:rPr>
          <w:rFonts w:cs="Arial"/>
          <w:sz w:val="22"/>
          <w:szCs w:val="22"/>
        </w:rPr>
        <w:t>In recognition</w:t>
      </w:r>
      <w:r w:rsidR="008C2F54" w:rsidRPr="0090214A">
        <w:rPr>
          <w:rFonts w:cs="Arial"/>
          <w:sz w:val="22"/>
          <w:szCs w:val="22"/>
        </w:rPr>
        <w:t xml:space="preserve"> of this</w:t>
      </w:r>
      <w:r w:rsidR="00B715BC" w:rsidRPr="0090214A">
        <w:rPr>
          <w:rFonts w:cs="Arial"/>
          <w:sz w:val="22"/>
          <w:szCs w:val="22"/>
        </w:rPr>
        <w:t>, t</w:t>
      </w:r>
      <w:r w:rsidRPr="0090214A">
        <w:rPr>
          <w:rFonts w:cs="Arial"/>
          <w:sz w:val="22"/>
          <w:szCs w:val="22"/>
        </w:rPr>
        <w:t xml:space="preserve">he </w:t>
      </w:r>
      <w:r w:rsidR="008C2F54" w:rsidRPr="0090214A">
        <w:rPr>
          <w:rFonts w:cs="Arial"/>
          <w:sz w:val="22"/>
          <w:szCs w:val="22"/>
        </w:rPr>
        <w:t>C</w:t>
      </w:r>
      <w:r w:rsidRPr="0090214A">
        <w:rPr>
          <w:rFonts w:cs="Arial"/>
          <w:sz w:val="22"/>
          <w:szCs w:val="22"/>
        </w:rPr>
        <w:t xml:space="preserve">ouncil has recently agreed to support £120m of capital borrowing as part of a </w:t>
      </w:r>
      <w:r w:rsidR="00B715BC" w:rsidRPr="0090214A">
        <w:rPr>
          <w:rFonts w:cs="Arial"/>
          <w:sz w:val="22"/>
          <w:szCs w:val="22"/>
        </w:rPr>
        <w:t>wide-ranging</w:t>
      </w:r>
      <w:r w:rsidRPr="0090214A">
        <w:rPr>
          <w:rFonts w:cs="Arial"/>
          <w:sz w:val="22"/>
          <w:szCs w:val="22"/>
        </w:rPr>
        <w:t xml:space="preserve"> SEN transfo</w:t>
      </w:r>
      <w:r w:rsidR="00B715BC" w:rsidRPr="0090214A">
        <w:rPr>
          <w:rFonts w:cs="Arial"/>
          <w:sz w:val="22"/>
          <w:szCs w:val="22"/>
        </w:rPr>
        <w:t>rmation programme, to build new</w:t>
      </w:r>
      <w:r w:rsidRPr="0090214A">
        <w:rPr>
          <w:rFonts w:cs="Arial"/>
          <w:sz w:val="22"/>
          <w:szCs w:val="22"/>
        </w:rPr>
        <w:t xml:space="preserve"> state special school places and additional SEN units.</w:t>
      </w:r>
      <w:r w:rsidR="00B715BC" w:rsidRPr="0090214A">
        <w:rPr>
          <w:rFonts w:cs="Arial"/>
          <w:sz w:val="22"/>
          <w:szCs w:val="22"/>
        </w:rPr>
        <w:t xml:space="preserve"> Taken together, the Council’s plans are expected to enable Norfolk </w:t>
      </w:r>
      <w:r w:rsidRPr="0090214A">
        <w:rPr>
          <w:rFonts w:cs="Arial"/>
          <w:sz w:val="22"/>
          <w:szCs w:val="22"/>
        </w:rPr>
        <w:t>to balance it</w:t>
      </w:r>
      <w:r w:rsidR="00B715BC" w:rsidRPr="0090214A">
        <w:rPr>
          <w:rFonts w:cs="Arial"/>
          <w:sz w:val="22"/>
          <w:szCs w:val="22"/>
        </w:rPr>
        <w:t xml:space="preserve">s high needs block </w:t>
      </w:r>
      <w:r w:rsidR="004774DB" w:rsidRPr="0090214A">
        <w:rPr>
          <w:rFonts w:cs="Arial"/>
          <w:sz w:val="22"/>
          <w:szCs w:val="22"/>
        </w:rPr>
        <w:t>over</w:t>
      </w:r>
      <w:r w:rsidR="00B715BC" w:rsidRPr="0090214A">
        <w:rPr>
          <w:rFonts w:cs="Arial"/>
          <w:sz w:val="22"/>
          <w:szCs w:val="22"/>
        </w:rPr>
        <w:t xml:space="preserve"> five</w:t>
      </w:r>
      <w:r w:rsidRPr="0090214A">
        <w:rPr>
          <w:rFonts w:cs="Arial"/>
          <w:sz w:val="22"/>
          <w:szCs w:val="22"/>
        </w:rPr>
        <w:t xml:space="preserve"> years and repay the def</w:t>
      </w:r>
      <w:r w:rsidR="00B715BC" w:rsidRPr="0090214A">
        <w:rPr>
          <w:rFonts w:cs="Arial"/>
          <w:sz w:val="22"/>
          <w:szCs w:val="22"/>
        </w:rPr>
        <w:t>icit built</w:t>
      </w:r>
      <w:r w:rsidRPr="0090214A">
        <w:rPr>
          <w:rFonts w:cs="Arial"/>
          <w:sz w:val="22"/>
          <w:szCs w:val="22"/>
        </w:rPr>
        <w:t xml:space="preserve"> up from previous years. </w:t>
      </w:r>
      <w:r w:rsidR="00B715BC" w:rsidRPr="0090214A">
        <w:rPr>
          <w:rFonts w:cs="Arial"/>
          <w:sz w:val="22"/>
          <w:szCs w:val="22"/>
        </w:rPr>
        <w:t xml:space="preserve">This is however entirely </w:t>
      </w:r>
      <w:r w:rsidRPr="0090214A">
        <w:rPr>
          <w:rFonts w:cs="Arial"/>
          <w:sz w:val="22"/>
          <w:szCs w:val="22"/>
        </w:rPr>
        <w:t>reliant on the</w:t>
      </w:r>
      <w:r w:rsidR="00B715BC" w:rsidRPr="0090214A">
        <w:rPr>
          <w:rFonts w:cs="Arial"/>
          <w:sz w:val="22"/>
          <w:szCs w:val="22"/>
        </w:rPr>
        <w:t xml:space="preserve"> proposed movement of</w:t>
      </w:r>
      <w:r w:rsidRPr="0090214A">
        <w:rPr>
          <w:rFonts w:cs="Arial"/>
          <w:sz w:val="22"/>
          <w:szCs w:val="22"/>
        </w:rPr>
        <w:t xml:space="preserve"> £4.58</w:t>
      </w:r>
      <w:r w:rsidR="00B715BC" w:rsidRPr="0090214A">
        <w:rPr>
          <w:rFonts w:cs="Arial"/>
          <w:sz w:val="22"/>
          <w:szCs w:val="22"/>
        </w:rPr>
        <w:t>0</w:t>
      </w:r>
      <w:r w:rsidRPr="0090214A">
        <w:rPr>
          <w:rFonts w:cs="Arial"/>
          <w:sz w:val="22"/>
          <w:szCs w:val="22"/>
        </w:rPr>
        <w:t>m to reduce the cost pressure</w:t>
      </w:r>
      <w:r w:rsidR="00B715BC" w:rsidRPr="0090214A">
        <w:rPr>
          <w:rFonts w:cs="Arial"/>
          <w:sz w:val="22"/>
          <w:szCs w:val="22"/>
        </w:rPr>
        <w:t xml:space="preserve"> being approved</w:t>
      </w:r>
      <w:r w:rsidR="001037D3" w:rsidRPr="0090214A">
        <w:rPr>
          <w:rFonts w:cs="Arial"/>
          <w:sz w:val="22"/>
          <w:szCs w:val="22"/>
        </w:rPr>
        <w:t xml:space="preserve">, and it must be emphasised that </w:t>
      </w:r>
      <w:r w:rsidR="00792E29" w:rsidRPr="0090214A">
        <w:rPr>
          <w:rFonts w:cs="Arial"/>
          <w:sz w:val="22"/>
          <w:szCs w:val="22"/>
        </w:rPr>
        <w:t xml:space="preserve">the scale of the problem is such that </w:t>
      </w:r>
      <w:r w:rsidR="001037D3" w:rsidRPr="0090214A">
        <w:rPr>
          <w:rFonts w:cs="Arial"/>
          <w:sz w:val="22"/>
          <w:szCs w:val="22"/>
        </w:rPr>
        <w:t xml:space="preserve">this level of movement will be required for each of the next five years, not simply in </w:t>
      </w:r>
      <w:r w:rsidR="00792E29" w:rsidRPr="0090214A">
        <w:rPr>
          <w:rFonts w:cs="Arial"/>
          <w:sz w:val="22"/>
          <w:szCs w:val="22"/>
        </w:rPr>
        <w:t>2019-20</w:t>
      </w:r>
      <w:r w:rsidRPr="0090214A">
        <w:rPr>
          <w:rFonts w:cs="Arial"/>
          <w:sz w:val="22"/>
          <w:szCs w:val="22"/>
        </w:rPr>
        <w:t>.</w:t>
      </w:r>
    </w:p>
    <w:p w14:paraId="76757E86" w14:textId="1483CD19" w:rsidR="004F4365" w:rsidRDefault="004F4365" w:rsidP="00651403">
      <w:pPr>
        <w:rPr>
          <w:rFonts w:cs="Arial"/>
          <w:sz w:val="22"/>
          <w:szCs w:val="22"/>
        </w:rPr>
      </w:pPr>
    </w:p>
    <w:p w14:paraId="1F5FF9A6" w14:textId="288B33AB" w:rsidR="004F4365" w:rsidRPr="0090214A" w:rsidRDefault="004F4365" w:rsidP="00651403">
      <w:pPr>
        <w:rPr>
          <w:rFonts w:cs="Arial"/>
          <w:sz w:val="22"/>
          <w:szCs w:val="22"/>
        </w:rPr>
      </w:pPr>
      <w:r>
        <w:rPr>
          <w:rFonts w:cs="Arial"/>
          <w:sz w:val="22"/>
          <w:szCs w:val="22"/>
        </w:rPr>
        <w:t>As the Secretary of State</w:t>
      </w:r>
      <w:r w:rsidR="00FF2072">
        <w:rPr>
          <w:rFonts w:cs="Arial"/>
          <w:sz w:val="22"/>
          <w:szCs w:val="22"/>
        </w:rPr>
        <w:t xml:space="preserve"> for Housing, Communities and Local Government</w:t>
      </w:r>
      <w:r>
        <w:rPr>
          <w:rFonts w:cs="Arial"/>
          <w:sz w:val="22"/>
          <w:szCs w:val="22"/>
        </w:rPr>
        <w:t xml:space="preserve"> said only this week he is conscious of the need for multi-year funding </w:t>
      </w:r>
      <w:r w:rsidR="00AA282F">
        <w:rPr>
          <w:rFonts w:cs="Arial"/>
          <w:sz w:val="22"/>
          <w:szCs w:val="22"/>
        </w:rPr>
        <w:t xml:space="preserve">which is why we need to be assured that </w:t>
      </w:r>
      <w:r w:rsidR="009B124C">
        <w:rPr>
          <w:rFonts w:cs="Arial"/>
          <w:sz w:val="22"/>
          <w:szCs w:val="22"/>
        </w:rPr>
        <w:t>other ministers and departments are taking the same approach.</w:t>
      </w:r>
    </w:p>
    <w:p w14:paraId="73AB477D" w14:textId="77777777" w:rsidR="00651403" w:rsidRPr="0090214A" w:rsidRDefault="00651403" w:rsidP="00394BA4">
      <w:pPr>
        <w:pStyle w:val="NoSpacing"/>
        <w:jc w:val="both"/>
        <w:rPr>
          <w:rFonts w:cs="Arial"/>
          <w:sz w:val="22"/>
        </w:rPr>
      </w:pPr>
    </w:p>
    <w:p w14:paraId="0CE27828" w14:textId="5C1F8A90" w:rsidR="00864011" w:rsidRPr="005442A6" w:rsidRDefault="005B67F2" w:rsidP="00F05E7B">
      <w:pPr>
        <w:pStyle w:val="NoSpacing"/>
        <w:jc w:val="both"/>
        <w:rPr>
          <w:rFonts w:cs="Arial"/>
          <w:sz w:val="22"/>
        </w:rPr>
      </w:pPr>
      <w:r w:rsidRPr="0090214A">
        <w:rPr>
          <w:rFonts w:cs="Arial"/>
          <w:sz w:val="22"/>
        </w:rPr>
        <w:t xml:space="preserve">For the reasons set out above, </w:t>
      </w:r>
      <w:r w:rsidRPr="0090214A">
        <w:rPr>
          <w:rFonts w:cs="Arial"/>
          <w:b/>
          <w:sz w:val="22"/>
        </w:rPr>
        <w:t xml:space="preserve">the Council considers that it is not </w:t>
      </w:r>
      <w:proofErr w:type="gramStart"/>
      <w:r w:rsidRPr="0090214A">
        <w:rPr>
          <w:rFonts w:cs="Arial"/>
          <w:b/>
          <w:sz w:val="22"/>
        </w:rPr>
        <w:t>in a position</w:t>
      </w:r>
      <w:proofErr w:type="gramEnd"/>
      <w:r w:rsidRPr="0090214A">
        <w:rPr>
          <w:rFonts w:cs="Arial"/>
          <w:b/>
          <w:sz w:val="22"/>
        </w:rPr>
        <w:t xml:space="preserve"> to withdraw or amend its disapplication request and hopes that this will be approved in full</w:t>
      </w:r>
      <w:r w:rsidRPr="0090214A">
        <w:rPr>
          <w:rFonts w:cs="Arial"/>
          <w:sz w:val="22"/>
        </w:rPr>
        <w:t>. Nevertheless, t</w:t>
      </w:r>
      <w:r w:rsidR="00B715BC" w:rsidRPr="0090214A">
        <w:rPr>
          <w:rFonts w:cs="Arial"/>
          <w:sz w:val="22"/>
        </w:rPr>
        <w:t>he Council</w:t>
      </w:r>
      <w:r w:rsidRPr="0090214A">
        <w:rPr>
          <w:rFonts w:cs="Arial"/>
          <w:sz w:val="22"/>
        </w:rPr>
        <w:t xml:space="preserve"> very much </w:t>
      </w:r>
      <w:r w:rsidR="00B715BC" w:rsidRPr="0090214A">
        <w:rPr>
          <w:rFonts w:cs="Arial"/>
          <w:sz w:val="22"/>
        </w:rPr>
        <w:t>w</w:t>
      </w:r>
      <w:r w:rsidR="00B81EF0" w:rsidRPr="0090214A">
        <w:rPr>
          <w:rFonts w:cs="Arial"/>
          <w:sz w:val="22"/>
        </w:rPr>
        <w:t>elcome</w:t>
      </w:r>
      <w:r w:rsidR="00B715BC" w:rsidRPr="0090214A">
        <w:rPr>
          <w:rFonts w:cs="Arial"/>
          <w:sz w:val="22"/>
        </w:rPr>
        <w:t>s</w:t>
      </w:r>
      <w:r w:rsidRPr="0090214A">
        <w:rPr>
          <w:rFonts w:cs="Arial"/>
          <w:sz w:val="22"/>
        </w:rPr>
        <w:t xml:space="preserve"> the additional funding and</w:t>
      </w:r>
      <w:r w:rsidR="00B81EF0" w:rsidRPr="0090214A">
        <w:rPr>
          <w:rFonts w:cs="Arial"/>
          <w:sz w:val="22"/>
        </w:rPr>
        <w:t xml:space="preserve"> the recognition in the Secretary of State’s written statement to parliament of 17 December that the</w:t>
      </w:r>
      <w:r w:rsidRPr="0090214A">
        <w:rPr>
          <w:rFonts w:cs="Arial"/>
          <w:sz w:val="22"/>
        </w:rPr>
        <w:t>se recently announced</w:t>
      </w:r>
      <w:r w:rsidR="00B81EF0" w:rsidRPr="0090214A">
        <w:rPr>
          <w:rFonts w:cs="Arial"/>
          <w:sz w:val="22"/>
        </w:rPr>
        <w:t xml:space="preserve"> measures will only start to address the </w:t>
      </w:r>
      <w:r w:rsidR="002F5A68" w:rsidRPr="0090214A">
        <w:rPr>
          <w:rFonts w:cs="Arial"/>
          <w:sz w:val="22"/>
        </w:rPr>
        <w:t xml:space="preserve">pressures on high needs budgets. A solution to this </w:t>
      </w:r>
      <w:r w:rsidR="00B715BC" w:rsidRPr="0090214A">
        <w:rPr>
          <w:rFonts w:cs="Arial"/>
          <w:sz w:val="22"/>
        </w:rPr>
        <w:t xml:space="preserve">emerging </w:t>
      </w:r>
      <w:r w:rsidR="002F5A68" w:rsidRPr="0090214A">
        <w:rPr>
          <w:rFonts w:cs="Arial"/>
          <w:sz w:val="22"/>
        </w:rPr>
        <w:t xml:space="preserve">crisis will require </w:t>
      </w:r>
      <w:r w:rsidR="00B715BC" w:rsidRPr="0090214A">
        <w:rPr>
          <w:rFonts w:cs="Arial"/>
          <w:sz w:val="22"/>
        </w:rPr>
        <w:t>a serious and focussed collaboration between local authoritie</w:t>
      </w:r>
      <w:r w:rsidR="002F5A68" w:rsidRPr="0090214A">
        <w:rPr>
          <w:rFonts w:cs="Arial"/>
          <w:sz w:val="22"/>
        </w:rPr>
        <w:t>s and other</w:t>
      </w:r>
      <w:r w:rsidR="008C2F54" w:rsidRPr="0090214A">
        <w:rPr>
          <w:rFonts w:cs="Arial"/>
          <w:sz w:val="22"/>
        </w:rPr>
        <w:t xml:space="preserve"> stakeholder</w:t>
      </w:r>
      <w:r w:rsidR="002F5A68" w:rsidRPr="0090214A">
        <w:rPr>
          <w:rFonts w:cs="Arial"/>
          <w:sz w:val="22"/>
        </w:rPr>
        <w:t xml:space="preserve">s, and </w:t>
      </w:r>
      <w:r w:rsidR="00B715BC" w:rsidRPr="0090214A">
        <w:rPr>
          <w:rFonts w:cs="Arial"/>
          <w:sz w:val="22"/>
        </w:rPr>
        <w:t>as such Norfolk</w:t>
      </w:r>
      <w:r w:rsidR="002F5A68" w:rsidRPr="0090214A">
        <w:rPr>
          <w:rFonts w:cs="Arial"/>
          <w:sz w:val="22"/>
        </w:rPr>
        <w:t xml:space="preserve"> </w:t>
      </w:r>
      <w:r w:rsidR="00B715BC" w:rsidRPr="0090214A">
        <w:rPr>
          <w:rFonts w:cs="Arial"/>
          <w:sz w:val="22"/>
        </w:rPr>
        <w:t xml:space="preserve">is encouraged that the </w:t>
      </w:r>
      <w:r w:rsidR="002F5A68" w:rsidRPr="0090214A">
        <w:rPr>
          <w:rFonts w:cs="Arial"/>
          <w:sz w:val="22"/>
        </w:rPr>
        <w:t>Sec</w:t>
      </w:r>
      <w:r w:rsidR="00B715BC" w:rsidRPr="0090214A">
        <w:rPr>
          <w:rFonts w:cs="Arial"/>
          <w:sz w:val="22"/>
        </w:rPr>
        <w:t>retary of State has indicated a</w:t>
      </w:r>
      <w:r w:rsidR="002F5A68" w:rsidRPr="0090214A">
        <w:rPr>
          <w:rFonts w:cs="Arial"/>
          <w:sz w:val="22"/>
        </w:rPr>
        <w:t xml:space="preserve"> willingness to engage</w:t>
      </w:r>
      <w:r w:rsidR="00B715BC" w:rsidRPr="0090214A">
        <w:rPr>
          <w:rFonts w:cs="Arial"/>
          <w:sz w:val="22"/>
        </w:rPr>
        <w:t xml:space="preserve"> </w:t>
      </w:r>
      <w:r w:rsidRPr="0090214A">
        <w:rPr>
          <w:rFonts w:cs="Arial"/>
          <w:sz w:val="22"/>
        </w:rPr>
        <w:t xml:space="preserve">with </w:t>
      </w:r>
      <w:r w:rsidR="008C2F54" w:rsidRPr="0090214A">
        <w:rPr>
          <w:rFonts w:cs="Arial"/>
          <w:sz w:val="22"/>
        </w:rPr>
        <w:t>c</w:t>
      </w:r>
      <w:r w:rsidRPr="0090214A">
        <w:rPr>
          <w:rFonts w:cs="Arial"/>
          <w:sz w:val="22"/>
        </w:rPr>
        <w:t>ouncil</w:t>
      </w:r>
      <w:r w:rsidR="008C2F54" w:rsidRPr="0090214A">
        <w:rPr>
          <w:rFonts w:cs="Arial"/>
          <w:sz w:val="22"/>
        </w:rPr>
        <w:t>s</w:t>
      </w:r>
      <w:r w:rsidRPr="0090214A">
        <w:rPr>
          <w:rFonts w:cs="Arial"/>
          <w:sz w:val="22"/>
        </w:rPr>
        <w:t xml:space="preserve"> </w:t>
      </w:r>
      <w:r w:rsidR="00B715BC" w:rsidRPr="0090214A">
        <w:rPr>
          <w:rFonts w:cs="Arial"/>
          <w:sz w:val="22"/>
        </w:rPr>
        <w:t xml:space="preserve">to deal with these issues. </w:t>
      </w:r>
      <w:r w:rsidR="00651403" w:rsidRPr="0090214A">
        <w:rPr>
          <w:rFonts w:cs="Arial"/>
          <w:sz w:val="22"/>
        </w:rPr>
        <w:t>Further context and background inform</w:t>
      </w:r>
      <w:r w:rsidR="008C2F54" w:rsidRPr="0090214A">
        <w:rPr>
          <w:rFonts w:cs="Arial"/>
          <w:sz w:val="22"/>
        </w:rPr>
        <w:t>ation has been</w:t>
      </w:r>
      <w:r w:rsidRPr="0090214A">
        <w:rPr>
          <w:rFonts w:cs="Arial"/>
          <w:sz w:val="22"/>
        </w:rPr>
        <w:t xml:space="preserve"> included in Norfolk</w:t>
      </w:r>
      <w:r w:rsidR="00651403" w:rsidRPr="0090214A">
        <w:rPr>
          <w:rFonts w:cs="Arial"/>
          <w:sz w:val="22"/>
        </w:rPr>
        <w:t>’s original disapplication request, and the response to the consultation on reporting DSG deficits. The Council welcomes the opportunity to work with Government to address these challenges and</w:t>
      </w:r>
      <w:r w:rsidR="00C5393F" w:rsidRPr="0090214A">
        <w:rPr>
          <w:rFonts w:cs="Arial"/>
          <w:sz w:val="22"/>
        </w:rPr>
        <w:t xml:space="preserve"> would be happy to provide </w:t>
      </w:r>
      <w:r w:rsidR="00651403" w:rsidRPr="0090214A">
        <w:rPr>
          <w:rFonts w:cs="Arial"/>
          <w:sz w:val="22"/>
        </w:rPr>
        <w:t xml:space="preserve">any </w:t>
      </w:r>
      <w:r w:rsidR="00C5393F" w:rsidRPr="0090214A">
        <w:rPr>
          <w:rFonts w:cs="Arial"/>
          <w:sz w:val="22"/>
        </w:rPr>
        <w:t xml:space="preserve">further detailed </w:t>
      </w:r>
      <w:r w:rsidR="008C2F54" w:rsidRPr="0090214A">
        <w:rPr>
          <w:rFonts w:cs="Arial"/>
          <w:sz w:val="22"/>
        </w:rPr>
        <w:t>information</w:t>
      </w:r>
      <w:r w:rsidR="00C5393F" w:rsidRPr="0090214A">
        <w:rPr>
          <w:rFonts w:cs="Arial"/>
          <w:sz w:val="22"/>
        </w:rPr>
        <w:t xml:space="preserve"> </w:t>
      </w:r>
      <w:r w:rsidR="00651403" w:rsidRPr="0090214A">
        <w:rPr>
          <w:rFonts w:cs="Arial"/>
          <w:sz w:val="22"/>
        </w:rPr>
        <w:t xml:space="preserve">that might be required </w:t>
      </w:r>
      <w:r w:rsidR="00C5393F" w:rsidRPr="0090214A">
        <w:rPr>
          <w:rFonts w:cs="Arial"/>
          <w:sz w:val="22"/>
        </w:rPr>
        <w:t xml:space="preserve">to </w:t>
      </w:r>
      <w:r w:rsidR="008C2F54" w:rsidRPr="0090214A">
        <w:rPr>
          <w:rFonts w:cs="Arial"/>
          <w:sz w:val="22"/>
        </w:rPr>
        <w:t>support</w:t>
      </w:r>
      <w:r w:rsidR="00C5393F" w:rsidRPr="0090214A">
        <w:rPr>
          <w:rFonts w:cs="Arial"/>
          <w:sz w:val="22"/>
        </w:rPr>
        <w:t xml:space="preserve"> </w:t>
      </w:r>
      <w:r w:rsidR="001C67BF" w:rsidRPr="0090214A">
        <w:rPr>
          <w:rFonts w:cs="Arial"/>
          <w:sz w:val="22"/>
        </w:rPr>
        <w:t xml:space="preserve">decision making </w:t>
      </w:r>
      <w:r w:rsidR="00DC7CA2" w:rsidRPr="0090214A">
        <w:rPr>
          <w:rFonts w:cs="Arial"/>
          <w:sz w:val="22"/>
        </w:rPr>
        <w:t>as part of</w:t>
      </w:r>
      <w:r w:rsidR="001C67BF" w:rsidRPr="0090214A">
        <w:rPr>
          <w:rFonts w:cs="Arial"/>
          <w:sz w:val="22"/>
        </w:rPr>
        <w:t xml:space="preserve"> this </w:t>
      </w:r>
      <w:r w:rsidR="00651403" w:rsidRPr="0090214A">
        <w:rPr>
          <w:rFonts w:cs="Arial"/>
          <w:sz w:val="22"/>
        </w:rPr>
        <w:t>process</w:t>
      </w:r>
      <w:r w:rsidR="00C5393F" w:rsidRPr="0090214A">
        <w:rPr>
          <w:rFonts w:cs="Arial"/>
          <w:sz w:val="22"/>
        </w:rPr>
        <w:t>.</w:t>
      </w:r>
    </w:p>
    <w:p w14:paraId="67283FD1" w14:textId="77777777" w:rsidR="00EA4211" w:rsidRPr="005442A6" w:rsidRDefault="00EA4211" w:rsidP="00F20710">
      <w:pPr>
        <w:pStyle w:val="NoSpacing"/>
        <w:jc w:val="both"/>
        <w:rPr>
          <w:rFonts w:cs="Arial"/>
          <w:sz w:val="22"/>
        </w:rPr>
      </w:pPr>
    </w:p>
    <w:p w14:paraId="0E2511FD" w14:textId="77777777" w:rsidR="00C22026" w:rsidRPr="005442A6" w:rsidRDefault="00C22026" w:rsidP="00F20710">
      <w:pPr>
        <w:pStyle w:val="NoSpacing"/>
        <w:jc w:val="both"/>
        <w:rPr>
          <w:rFonts w:cs="Arial"/>
          <w:sz w:val="22"/>
        </w:rPr>
      </w:pPr>
      <w:r w:rsidRPr="005442A6">
        <w:rPr>
          <w:rFonts w:cs="Arial"/>
          <w:sz w:val="22"/>
        </w:rPr>
        <w:t>Yours faithfully,</w:t>
      </w:r>
    </w:p>
    <w:p w14:paraId="3F2FE150" w14:textId="77777777" w:rsidR="00C22026" w:rsidRPr="005442A6" w:rsidRDefault="00C22026" w:rsidP="00F20710">
      <w:pPr>
        <w:pStyle w:val="NoSpacing"/>
        <w:jc w:val="both"/>
        <w:rPr>
          <w:rFonts w:cs="Arial"/>
          <w:sz w:val="22"/>
        </w:rPr>
      </w:pPr>
    </w:p>
    <w:p w14:paraId="2AE3A211" w14:textId="77777777" w:rsidR="00C22026" w:rsidRPr="005442A6" w:rsidRDefault="002F6786" w:rsidP="00F20710">
      <w:pPr>
        <w:pStyle w:val="NoSpacing"/>
        <w:jc w:val="both"/>
        <w:rPr>
          <w:rFonts w:cs="Arial"/>
          <w:sz w:val="22"/>
        </w:rPr>
      </w:pPr>
      <w:r w:rsidRPr="005442A6">
        <w:rPr>
          <w:rFonts w:cs="Arial"/>
          <w:noProof/>
          <w:sz w:val="22"/>
          <w:lang w:eastAsia="en-GB"/>
        </w:rPr>
        <w:drawing>
          <wp:anchor distT="0" distB="0" distL="114300" distR="114300" simplePos="0" relativeHeight="251659264" behindDoc="0" locked="0" layoutInCell="1" allowOverlap="1" wp14:anchorId="0393F190" wp14:editId="4E6D42E7">
            <wp:simplePos x="0" y="0"/>
            <wp:positionH relativeFrom="column">
              <wp:posOffset>0</wp:posOffset>
            </wp:positionH>
            <wp:positionV relativeFrom="paragraph">
              <wp:posOffset>-635</wp:posOffset>
            </wp:positionV>
            <wp:extent cx="2009775" cy="815230"/>
            <wp:effectExtent l="0" t="0" r="0" b="4445"/>
            <wp:wrapNone/>
            <wp:docPr id="2" name="Picture 5" descr="Signature of Simon George (Executive Director of Finance and Commer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8152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9CD1E25" w14:textId="77777777" w:rsidR="00C16FFE" w:rsidRPr="005442A6" w:rsidRDefault="00C16FFE" w:rsidP="00F20710">
      <w:pPr>
        <w:pStyle w:val="NoSpacing"/>
        <w:jc w:val="both"/>
        <w:rPr>
          <w:rFonts w:cs="Arial"/>
          <w:sz w:val="22"/>
        </w:rPr>
      </w:pPr>
    </w:p>
    <w:p w14:paraId="4D0A6594" w14:textId="77777777" w:rsidR="00C16FFE" w:rsidRPr="005442A6" w:rsidRDefault="00C16FFE" w:rsidP="00F20710">
      <w:pPr>
        <w:pStyle w:val="NoSpacing"/>
        <w:jc w:val="both"/>
        <w:rPr>
          <w:rFonts w:cs="Arial"/>
          <w:sz w:val="22"/>
        </w:rPr>
      </w:pPr>
    </w:p>
    <w:p w14:paraId="22E7CD96" w14:textId="77777777" w:rsidR="00C22026" w:rsidRPr="005442A6" w:rsidRDefault="00C22026" w:rsidP="00F20710">
      <w:pPr>
        <w:pStyle w:val="NoSpacing"/>
        <w:jc w:val="both"/>
        <w:rPr>
          <w:rFonts w:cs="Arial"/>
          <w:sz w:val="22"/>
        </w:rPr>
      </w:pPr>
    </w:p>
    <w:p w14:paraId="31C6BFC5" w14:textId="77777777" w:rsidR="00C22026" w:rsidRPr="005442A6" w:rsidRDefault="00C22026" w:rsidP="00F20710">
      <w:pPr>
        <w:pStyle w:val="NoSpacing"/>
        <w:jc w:val="both"/>
        <w:rPr>
          <w:rFonts w:cs="Arial"/>
          <w:sz w:val="22"/>
        </w:rPr>
      </w:pPr>
      <w:r w:rsidRPr="005442A6">
        <w:rPr>
          <w:rFonts w:cs="Arial"/>
          <w:sz w:val="22"/>
        </w:rPr>
        <w:t>Simon George</w:t>
      </w:r>
    </w:p>
    <w:p w14:paraId="30B7BEF6" w14:textId="77777777" w:rsidR="00C22026" w:rsidRPr="005442A6" w:rsidRDefault="00C22026" w:rsidP="00F20710">
      <w:pPr>
        <w:pStyle w:val="NoSpacing"/>
        <w:jc w:val="both"/>
        <w:rPr>
          <w:rFonts w:cs="Arial"/>
          <w:sz w:val="22"/>
        </w:rPr>
      </w:pPr>
      <w:r w:rsidRPr="005442A6">
        <w:rPr>
          <w:rFonts w:cs="Arial"/>
          <w:sz w:val="22"/>
        </w:rPr>
        <w:t>Executive Director of Finance</w:t>
      </w:r>
      <w:r w:rsidR="00F2572A" w:rsidRPr="005442A6">
        <w:rPr>
          <w:rFonts w:cs="Arial"/>
          <w:sz w:val="22"/>
        </w:rPr>
        <w:t xml:space="preserve"> and Commercial Services</w:t>
      </w:r>
    </w:p>
    <w:p w14:paraId="1425A768" w14:textId="77777777" w:rsidR="00C22026" w:rsidRPr="005442A6" w:rsidRDefault="00C22026" w:rsidP="00F20710">
      <w:pPr>
        <w:pStyle w:val="NoSpacing"/>
        <w:jc w:val="both"/>
        <w:rPr>
          <w:rFonts w:cs="Arial"/>
          <w:color w:val="D99594" w:themeColor="accent2" w:themeTint="99"/>
          <w:sz w:val="22"/>
        </w:rPr>
      </w:pPr>
      <w:r w:rsidRPr="005442A6">
        <w:rPr>
          <w:rFonts w:cs="Arial"/>
          <w:sz w:val="22"/>
        </w:rPr>
        <w:t>Norfolk County Council</w:t>
      </w:r>
    </w:p>
    <w:sectPr w:rsidR="00C22026" w:rsidRPr="005442A6">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28E4" w14:textId="77777777" w:rsidR="00412D88" w:rsidRDefault="00412D88" w:rsidP="00651A25">
      <w:r>
        <w:separator/>
      </w:r>
    </w:p>
  </w:endnote>
  <w:endnote w:type="continuationSeparator" w:id="0">
    <w:p w14:paraId="1996974F" w14:textId="77777777" w:rsidR="00412D88" w:rsidRDefault="00412D88" w:rsidP="006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62D0" w14:textId="77777777" w:rsidR="00412D88" w:rsidRDefault="00412D88" w:rsidP="00651A25">
      <w:r>
        <w:separator/>
      </w:r>
    </w:p>
  </w:footnote>
  <w:footnote w:type="continuationSeparator" w:id="0">
    <w:p w14:paraId="3151B339" w14:textId="77777777" w:rsidR="00412D88" w:rsidRDefault="00412D88" w:rsidP="006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8602" w14:textId="77777777" w:rsidR="00412D88" w:rsidRDefault="00412D88">
    <w:pPr>
      <w:pStyle w:val="Header"/>
    </w:pPr>
    <w:r>
      <w:rPr>
        <w:noProof/>
        <w:lang w:eastAsia="en-GB"/>
      </w:rPr>
      <w:drawing>
        <wp:inline distT="0" distB="0" distL="0" distR="0" wp14:anchorId="4A6C77CF" wp14:editId="3215561A">
          <wp:extent cx="2388357" cy="266700"/>
          <wp:effectExtent l="0" t="0" r="0" b="0"/>
          <wp:docPr id="1" name="Picture 1" descr="Norfolk County Council logo, in the heading of ea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286" cy="27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7D04" w14:textId="77777777" w:rsidR="00412D88" w:rsidRDefault="00412D88">
    <w:pPr>
      <w:pStyle w:val="Header"/>
    </w:pPr>
    <w:bookmarkStart w:id="1" w:name="3"/>
    <w:r>
      <w:rPr>
        <w:rFonts w:ascii="Verdana" w:hAnsi="Verdana"/>
        <w:noProof/>
        <w:color w:val="000000"/>
        <w:sz w:val="20"/>
        <w:lang w:eastAsia="en-GB"/>
      </w:rPr>
      <w:drawing>
        <wp:inline distT="0" distB="0" distL="0" distR="0" wp14:anchorId="473CB8E7" wp14:editId="7F8E4CFB">
          <wp:extent cx="3471331" cy="390525"/>
          <wp:effectExtent l="0" t="0" r="0" b="0"/>
          <wp:docPr id="5" name="Picture 5" descr="http://ptpartnership.norfolk.gov.uk/pandt/communications/designguidelines/NCC%20logo%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tpartnership.norfolk.gov.uk/pandt/communications/designguidelines/NCC%20logo%2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1331" cy="39052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280"/>
    <w:multiLevelType w:val="hybridMultilevel"/>
    <w:tmpl w:val="2C12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8341B"/>
    <w:multiLevelType w:val="hybridMultilevel"/>
    <w:tmpl w:val="5B16D15A"/>
    <w:lvl w:ilvl="0" w:tplc="291ECC98">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3B1B3222"/>
    <w:multiLevelType w:val="hybridMultilevel"/>
    <w:tmpl w:val="E4DE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15866"/>
    <w:multiLevelType w:val="hybridMultilevel"/>
    <w:tmpl w:val="1C3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37B6B"/>
    <w:multiLevelType w:val="hybridMultilevel"/>
    <w:tmpl w:val="F34E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A5A70"/>
    <w:multiLevelType w:val="hybridMultilevel"/>
    <w:tmpl w:val="EAD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A1140"/>
    <w:multiLevelType w:val="hybridMultilevel"/>
    <w:tmpl w:val="2D5ED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11"/>
    <w:rsid w:val="0000174D"/>
    <w:rsid w:val="000144E2"/>
    <w:rsid w:val="00015409"/>
    <w:rsid w:val="000249DB"/>
    <w:rsid w:val="000254E1"/>
    <w:rsid w:val="000277FD"/>
    <w:rsid w:val="00033EBB"/>
    <w:rsid w:val="00040B71"/>
    <w:rsid w:val="000424E9"/>
    <w:rsid w:val="00051879"/>
    <w:rsid w:val="00070EE8"/>
    <w:rsid w:val="00075123"/>
    <w:rsid w:val="00077FF1"/>
    <w:rsid w:val="000837CD"/>
    <w:rsid w:val="00085E11"/>
    <w:rsid w:val="000A6BC6"/>
    <w:rsid w:val="000B069E"/>
    <w:rsid w:val="000B4807"/>
    <w:rsid w:val="000C6299"/>
    <w:rsid w:val="000C7560"/>
    <w:rsid w:val="000D05F1"/>
    <w:rsid w:val="000D4636"/>
    <w:rsid w:val="000D5A8A"/>
    <w:rsid w:val="000E10D1"/>
    <w:rsid w:val="000E16D3"/>
    <w:rsid w:val="000E312A"/>
    <w:rsid w:val="000E7C8E"/>
    <w:rsid w:val="000F4177"/>
    <w:rsid w:val="000F4253"/>
    <w:rsid w:val="00100F19"/>
    <w:rsid w:val="001037D3"/>
    <w:rsid w:val="0010463C"/>
    <w:rsid w:val="001050E8"/>
    <w:rsid w:val="0010514E"/>
    <w:rsid w:val="001255FC"/>
    <w:rsid w:val="001339E6"/>
    <w:rsid w:val="00137F8E"/>
    <w:rsid w:val="001433D4"/>
    <w:rsid w:val="00147BD5"/>
    <w:rsid w:val="00151968"/>
    <w:rsid w:val="00152CC9"/>
    <w:rsid w:val="0015582E"/>
    <w:rsid w:val="001717E5"/>
    <w:rsid w:val="0018751C"/>
    <w:rsid w:val="00187576"/>
    <w:rsid w:val="00191F5E"/>
    <w:rsid w:val="001A1977"/>
    <w:rsid w:val="001A1B17"/>
    <w:rsid w:val="001A25C3"/>
    <w:rsid w:val="001B14FA"/>
    <w:rsid w:val="001B3C32"/>
    <w:rsid w:val="001C0114"/>
    <w:rsid w:val="001C65CE"/>
    <w:rsid w:val="001C67BF"/>
    <w:rsid w:val="001D23DA"/>
    <w:rsid w:val="001D72D4"/>
    <w:rsid w:val="001E08D5"/>
    <w:rsid w:val="001E218F"/>
    <w:rsid w:val="001E7905"/>
    <w:rsid w:val="001F08B1"/>
    <w:rsid w:val="001F2BA1"/>
    <w:rsid w:val="001F4360"/>
    <w:rsid w:val="00205487"/>
    <w:rsid w:val="00207A8B"/>
    <w:rsid w:val="002119F6"/>
    <w:rsid w:val="002170F2"/>
    <w:rsid w:val="00220528"/>
    <w:rsid w:val="00227A2E"/>
    <w:rsid w:val="002311E6"/>
    <w:rsid w:val="0024095B"/>
    <w:rsid w:val="00240987"/>
    <w:rsid w:val="00243F59"/>
    <w:rsid w:val="0024475B"/>
    <w:rsid w:val="00250FE1"/>
    <w:rsid w:val="00251CBC"/>
    <w:rsid w:val="002573C0"/>
    <w:rsid w:val="00260B6A"/>
    <w:rsid w:val="00277210"/>
    <w:rsid w:val="002858F8"/>
    <w:rsid w:val="00291EB9"/>
    <w:rsid w:val="00292FA1"/>
    <w:rsid w:val="002930F1"/>
    <w:rsid w:val="00294496"/>
    <w:rsid w:val="00296EA9"/>
    <w:rsid w:val="002A1585"/>
    <w:rsid w:val="002A4C8F"/>
    <w:rsid w:val="002A54FB"/>
    <w:rsid w:val="002A6AF1"/>
    <w:rsid w:val="002B0404"/>
    <w:rsid w:val="002B1312"/>
    <w:rsid w:val="002B4922"/>
    <w:rsid w:val="002B6454"/>
    <w:rsid w:val="002B6CF2"/>
    <w:rsid w:val="002B6F88"/>
    <w:rsid w:val="002C1FDC"/>
    <w:rsid w:val="002C3812"/>
    <w:rsid w:val="002C55F2"/>
    <w:rsid w:val="002D258B"/>
    <w:rsid w:val="002D3F98"/>
    <w:rsid w:val="002E1ACD"/>
    <w:rsid w:val="002F5597"/>
    <w:rsid w:val="002F5A68"/>
    <w:rsid w:val="002F6786"/>
    <w:rsid w:val="002F6EE8"/>
    <w:rsid w:val="00300ACE"/>
    <w:rsid w:val="00312B10"/>
    <w:rsid w:val="0032238C"/>
    <w:rsid w:val="00326CE0"/>
    <w:rsid w:val="00327FBE"/>
    <w:rsid w:val="0033706A"/>
    <w:rsid w:val="003464BA"/>
    <w:rsid w:val="00350EAD"/>
    <w:rsid w:val="0035150C"/>
    <w:rsid w:val="0035376B"/>
    <w:rsid w:val="00353BF5"/>
    <w:rsid w:val="00356BD9"/>
    <w:rsid w:val="00367626"/>
    <w:rsid w:val="0036796F"/>
    <w:rsid w:val="00367B54"/>
    <w:rsid w:val="00370597"/>
    <w:rsid w:val="00372A55"/>
    <w:rsid w:val="00373D45"/>
    <w:rsid w:val="00377F55"/>
    <w:rsid w:val="00382453"/>
    <w:rsid w:val="00382C91"/>
    <w:rsid w:val="003856C9"/>
    <w:rsid w:val="003938A1"/>
    <w:rsid w:val="00394BA4"/>
    <w:rsid w:val="003A45C8"/>
    <w:rsid w:val="003A690F"/>
    <w:rsid w:val="003B434E"/>
    <w:rsid w:val="003C2F5E"/>
    <w:rsid w:val="003D2B69"/>
    <w:rsid w:val="003D494F"/>
    <w:rsid w:val="003E36AF"/>
    <w:rsid w:val="003E3796"/>
    <w:rsid w:val="003E57E9"/>
    <w:rsid w:val="003F27AF"/>
    <w:rsid w:val="003F5A40"/>
    <w:rsid w:val="00405CC2"/>
    <w:rsid w:val="00407E56"/>
    <w:rsid w:val="00412D88"/>
    <w:rsid w:val="00423668"/>
    <w:rsid w:val="00434E7B"/>
    <w:rsid w:val="00441995"/>
    <w:rsid w:val="00445CEF"/>
    <w:rsid w:val="00452627"/>
    <w:rsid w:val="004526CE"/>
    <w:rsid w:val="00453A5E"/>
    <w:rsid w:val="00455F9D"/>
    <w:rsid w:val="004631F1"/>
    <w:rsid w:val="004774DB"/>
    <w:rsid w:val="00487098"/>
    <w:rsid w:val="004903AC"/>
    <w:rsid w:val="00490B94"/>
    <w:rsid w:val="00491664"/>
    <w:rsid w:val="004A1C21"/>
    <w:rsid w:val="004A4F19"/>
    <w:rsid w:val="004A546D"/>
    <w:rsid w:val="004A5EEB"/>
    <w:rsid w:val="004A6010"/>
    <w:rsid w:val="004A78A4"/>
    <w:rsid w:val="004D01A8"/>
    <w:rsid w:val="004D2BFE"/>
    <w:rsid w:val="004D5D12"/>
    <w:rsid w:val="004D67D6"/>
    <w:rsid w:val="004F4365"/>
    <w:rsid w:val="004F670B"/>
    <w:rsid w:val="005112BB"/>
    <w:rsid w:val="00513D9E"/>
    <w:rsid w:val="00514061"/>
    <w:rsid w:val="005217E2"/>
    <w:rsid w:val="00523DFC"/>
    <w:rsid w:val="00530205"/>
    <w:rsid w:val="00531FC4"/>
    <w:rsid w:val="00536803"/>
    <w:rsid w:val="00540E5D"/>
    <w:rsid w:val="005442A6"/>
    <w:rsid w:val="0054516C"/>
    <w:rsid w:val="00547642"/>
    <w:rsid w:val="0054780F"/>
    <w:rsid w:val="00553D9F"/>
    <w:rsid w:val="005667AA"/>
    <w:rsid w:val="00574183"/>
    <w:rsid w:val="005847EF"/>
    <w:rsid w:val="005849CB"/>
    <w:rsid w:val="00587B04"/>
    <w:rsid w:val="0059199D"/>
    <w:rsid w:val="005A4CBA"/>
    <w:rsid w:val="005B43A5"/>
    <w:rsid w:val="005B4A76"/>
    <w:rsid w:val="005B67F2"/>
    <w:rsid w:val="005C1E60"/>
    <w:rsid w:val="005C3C77"/>
    <w:rsid w:val="005D4A40"/>
    <w:rsid w:val="005E200D"/>
    <w:rsid w:val="005F0BBD"/>
    <w:rsid w:val="005F40C7"/>
    <w:rsid w:val="0060656D"/>
    <w:rsid w:val="00607437"/>
    <w:rsid w:val="00617919"/>
    <w:rsid w:val="0061799A"/>
    <w:rsid w:val="00622104"/>
    <w:rsid w:val="0062479F"/>
    <w:rsid w:val="006249B1"/>
    <w:rsid w:val="0064133A"/>
    <w:rsid w:val="006458A6"/>
    <w:rsid w:val="00647531"/>
    <w:rsid w:val="00651403"/>
    <w:rsid w:val="00651A25"/>
    <w:rsid w:val="00655487"/>
    <w:rsid w:val="00656954"/>
    <w:rsid w:val="00656CA7"/>
    <w:rsid w:val="006573C7"/>
    <w:rsid w:val="00661DE3"/>
    <w:rsid w:val="006854BB"/>
    <w:rsid w:val="0068783E"/>
    <w:rsid w:val="00690768"/>
    <w:rsid w:val="00690E9C"/>
    <w:rsid w:val="006A1675"/>
    <w:rsid w:val="006B1577"/>
    <w:rsid w:val="006B2475"/>
    <w:rsid w:val="006B61F5"/>
    <w:rsid w:val="006B6820"/>
    <w:rsid w:val="006C2AC4"/>
    <w:rsid w:val="006D017F"/>
    <w:rsid w:val="006D4090"/>
    <w:rsid w:val="006E2BBA"/>
    <w:rsid w:val="006E4E16"/>
    <w:rsid w:val="006E54A9"/>
    <w:rsid w:val="006E5AF5"/>
    <w:rsid w:val="006E65BA"/>
    <w:rsid w:val="006E6A1B"/>
    <w:rsid w:val="006E6CAA"/>
    <w:rsid w:val="006F57C3"/>
    <w:rsid w:val="006F612F"/>
    <w:rsid w:val="006F7F92"/>
    <w:rsid w:val="0071673E"/>
    <w:rsid w:val="00720306"/>
    <w:rsid w:val="00724C9D"/>
    <w:rsid w:val="00726C8F"/>
    <w:rsid w:val="007309A6"/>
    <w:rsid w:val="0073544C"/>
    <w:rsid w:val="007457EE"/>
    <w:rsid w:val="00746D59"/>
    <w:rsid w:val="00751039"/>
    <w:rsid w:val="00753027"/>
    <w:rsid w:val="00754D6E"/>
    <w:rsid w:val="00756511"/>
    <w:rsid w:val="00756880"/>
    <w:rsid w:val="0076063C"/>
    <w:rsid w:val="007610F3"/>
    <w:rsid w:val="00763E2A"/>
    <w:rsid w:val="0076548F"/>
    <w:rsid w:val="0076594F"/>
    <w:rsid w:val="00765B54"/>
    <w:rsid w:val="00771256"/>
    <w:rsid w:val="00773AC3"/>
    <w:rsid w:val="00783184"/>
    <w:rsid w:val="00790C03"/>
    <w:rsid w:val="00792E29"/>
    <w:rsid w:val="00797FF1"/>
    <w:rsid w:val="007A16CE"/>
    <w:rsid w:val="007A3FB3"/>
    <w:rsid w:val="007A75AC"/>
    <w:rsid w:val="007A778B"/>
    <w:rsid w:val="007A7CEE"/>
    <w:rsid w:val="007B0F09"/>
    <w:rsid w:val="007C17CA"/>
    <w:rsid w:val="007C3CBB"/>
    <w:rsid w:val="007C4A7D"/>
    <w:rsid w:val="007D16A3"/>
    <w:rsid w:val="007D2A6C"/>
    <w:rsid w:val="007D3944"/>
    <w:rsid w:val="007D6525"/>
    <w:rsid w:val="007E020F"/>
    <w:rsid w:val="007E1043"/>
    <w:rsid w:val="007E7D67"/>
    <w:rsid w:val="007F0DD7"/>
    <w:rsid w:val="007F1BBD"/>
    <w:rsid w:val="007F5972"/>
    <w:rsid w:val="007F7C83"/>
    <w:rsid w:val="00800241"/>
    <w:rsid w:val="00813CC6"/>
    <w:rsid w:val="0082264C"/>
    <w:rsid w:val="00823C7D"/>
    <w:rsid w:val="008249D3"/>
    <w:rsid w:val="008250ED"/>
    <w:rsid w:val="00831A6A"/>
    <w:rsid w:val="00832504"/>
    <w:rsid w:val="00832B3B"/>
    <w:rsid w:val="0084202A"/>
    <w:rsid w:val="00845BC3"/>
    <w:rsid w:val="00851C0E"/>
    <w:rsid w:val="0085386C"/>
    <w:rsid w:val="00853EB5"/>
    <w:rsid w:val="00864011"/>
    <w:rsid w:val="008870AA"/>
    <w:rsid w:val="00890999"/>
    <w:rsid w:val="00896600"/>
    <w:rsid w:val="008A36C9"/>
    <w:rsid w:val="008A3792"/>
    <w:rsid w:val="008A7DB4"/>
    <w:rsid w:val="008C2F54"/>
    <w:rsid w:val="008D088E"/>
    <w:rsid w:val="008D17B1"/>
    <w:rsid w:val="008D182C"/>
    <w:rsid w:val="008D2DFD"/>
    <w:rsid w:val="008D305C"/>
    <w:rsid w:val="008E44CA"/>
    <w:rsid w:val="008E624A"/>
    <w:rsid w:val="008F1386"/>
    <w:rsid w:val="008F29F8"/>
    <w:rsid w:val="008F7910"/>
    <w:rsid w:val="009009D0"/>
    <w:rsid w:val="009014B8"/>
    <w:rsid w:val="0090214A"/>
    <w:rsid w:val="0090599D"/>
    <w:rsid w:val="00905C5C"/>
    <w:rsid w:val="00912F6C"/>
    <w:rsid w:val="00916EEE"/>
    <w:rsid w:val="00921A79"/>
    <w:rsid w:val="009337A0"/>
    <w:rsid w:val="00935CA2"/>
    <w:rsid w:val="00936D0C"/>
    <w:rsid w:val="009401D7"/>
    <w:rsid w:val="00941D5B"/>
    <w:rsid w:val="00944FC3"/>
    <w:rsid w:val="009628E2"/>
    <w:rsid w:val="00964CF3"/>
    <w:rsid w:val="00966B1E"/>
    <w:rsid w:val="009701FC"/>
    <w:rsid w:val="00973094"/>
    <w:rsid w:val="0098027E"/>
    <w:rsid w:val="00992641"/>
    <w:rsid w:val="009A5B15"/>
    <w:rsid w:val="009A6BE7"/>
    <w:rsid w:val="009A7BBD"/>
    <w:rsid w:val="009B124C"/>
    <w:rsid w:val="009B2C35"/>
    <w:rsid w:val="009C2133"/>
    <w:rsid w:val="009C5DA9"/>
    <w:rsid w:val="009C612D"/>
    <w:rsid w:val="009D17DC"/>
    <w:rsid w:val="009D1AEF"/>
    <w:rsid w:val="009D2FAD"/>
    <w:rsid w:val="009D318A"/>
    <w:rsid w:val="009E25C8"/>
    <w:rsid w:val="009F4A5F"/>
    <w:rsid w:val="009F656D"/>
    <w:rsid w:val="00A0339D"/>
    <w:rsid w:val="00A05ECF"/>
    <w:rsid w:val="00A13AD8"/>
    <w:rsid w:val="00A2731E"/>
    <w:rsid w:val="00A33019"/>
    <w:rsid w:val="00A41AA2"/>
    <w:rsid w:val="00A422AB"/>
    <w:rsid w:val="00A50F68"/>
    <w:rsid w:val="00A54E28"/>
    <w:rsid w:val="00A60152"/>
    <w:rsid w:val="00A62557"/>
    <w:rsid w:val="00A6532C"/>
    <w:rsid w:val="00A65B5C"/>
    <w:rsid w:val="00A65D70"/>
    <w:rsid w:val="00A66632"/>
    <w:rsid w:val="00A727E0"/>
    <w:rsid w:val="00A74B16"/>
    <w:rsid w:val="00A84620"/>
    <w:rsid w:val="00A90CAB"/>
    <w:rsid w:val="00A90FE5"/>
    <w:rsid w:val="00A961E0"/>
    <w:rsid w:val="00A9628F"/>
    <w:rsid w:val="00AA282F"/>
    <w:rsid w:val="00AB197B"/>
    <w:rsid w:val="00AB6FD0"/>
    <w:rsid w:val="00AC37CC"/>
    <w:rsid w:val="00AC3E56"/>
    <w:rsid w:val="00AC55FA"/>
    <w:rsid w:val="00AD20B4"/>
    <w:rsid w:val="00AE5253"/>
    <w:rsid w:val="00AE75FC"/>
    <w:rsid w:val="00AE7BB4"/>
    <w:rsid w:val="00AF4383"/>
    <w:rsid w:val="00AF5E17"/>
    <w:rsid w:val="00B22293"/>
    <w:rsid w:val="00B23FC5"/>
    <w:rsid w:val="00B25452"/>
    <w:rsid w:val="00B25639"/>
    <w:rsid w:val="00B315E0"/>
    <w:rsid w:val="00B40552"/>
    <w:rsid w:val="00B42CD6"/>
    <w:rsid w:val="00B457DE"/>
    <w:rsid w:val="00B4677A"/>
    <w:rsid w:val="00B50E01"/>
    <w:rsid w:val="00B5634B"/>
    <w:rsid w:val="00B63ABC"/>
    <w:rsid w:val="00B63EA6"/>
    <w:rsid w:val="00B64E01"/>
    <w:rsid w:val="00B70D03"/>
    <w:rsid w:val="00B70DAF"/>
    <w:rsid w:val="00B715BC"/>
    <w:rsid w:val="00B73C73"/>
    <w:rsid w:val="00B81EF0"/>
    <w:rsid w:val="00B86EF0"/>
    <w:rsid w:val="00B95FB2"/>
    <w:rsid w:val="00B97A3C"/>
    <w:rsid w:val="00BA1806"/>
    <w:rsid w:val="00BA7501"/>
    <w:rsid w:val="00BB32C6"/>
    <w:rsid w:val="00BB441C"/>
    <w:rsid w:val="00BC0B85"/>
    <w:rsid w:val="00BC0BDE"/>
    <w:rsid w:val="00BC74BA"/>
    <w:rsid w:val="00BD186B"/>
    <w:rsid w:val="00BD5ED7"/>
    <w:rsid w:val="00BF3067"/>
    <w:rsid w:val="00BF4EC8"/>
    <w:rsid w:val="00BF7DE6"/>
    <w:rsid w:val="00C0182C"/>
    <w:rsid w:val="00C031BA"/>
    <w:rsid w:val="00C059B6"/>
    <w:rsid w:val="00C07558"/>
    <w:rsid w:val="00C16FFE"/>
    <w:rsid w:val="00C22026"/>
    <w:rsid w:val="00C304C4"/>
    <w:rsid w:val="00C31A15"/>
    <w:rsid w:val="00C37613"/>
    <w:rsid w:val="00C37E05"/>
    <w:rsid w:val="00C5393F"/>
    <w:rsid w:val="00C565E3"/>
    <w:rsid w:val="00C56B43"/>
    <w:rsid w:val="00C6355A"/>
    <w:rsid w:val="00C639AB"/>
    <w:rsid w:val="00C63E11"/>
    <w:rsid w:val="00C63E91"/>
    <w:rsid w:val="00C644A5"/>
    <w:rsid w:val="00C648F8"/>
    <w:rsid w:val="00C67A78"/>
    <w:rsid w:val="00C71EE3"/>
    <w:rsid w:val="00C7213F"/>
    <w:rsid w:val="00C72B23"/>
    <w:rsid w:val="00C76E16"/>
    <w:rsid w:val="00C81456"/>
    <w:rsid w:val="00CA3BE1"/>
    <w:rsid w:val="00CA510E"/>
    <w:rsid w:val="00CB1A30"/>
    <w:rsid w:val="00CB3F38"/>
    <w:rsid w:val="00CC3705"/>
    <w:rsid w:val="00CD7BAA"/>
    <w:rsid w:val="00CE3486"/>
    <w:rsid w:val="00CE605E"/>
    <w:rsid w:val="00CF4E39"/>
    <w:rsid w:val="00CF57D5"/>
    <w:rsid w:val="00D006A1"/>
    <w:rsid w:val="00D07CE7"/>
    <w:rsid w:val="00D102B5"/>
    <w:rsid w:val="00D10A32"/>
    <w:rsid w:val="00D10DDF"/>
    <w:rsid w:val="00D12C4A"/>
    <w:rsid w:val="00D15AC6"/>
    <w:rsid w:val="00D26F33"/>
    <w:rsid w:val="00D32BFF"/>
    <w:rsid w:val="00D348E1"/>
    <w:rsid w:val="00D35BBF"/>
    <w:rsid w:val="00D35F9B"/>
    <w:rsid w:val="00D367EF"/>
    <w:rsid w:val="00D40362"/>
    <w:rsid w:val="00D460B2"/>
    <w:rsid w:val="00D47999"/>
    <w:rsid w:val="00D53634"/>
    <w:rsid w:val="00D54215"/>
    <w:rsid w:val="00D6018D"/>
    <w:rsid w:val="00D62FD3"/>
    <w:rsid w:val="00D710C4"/>
    <w:rsid w:val="00D75197"/>
    <w:rsid w:val="00D779EA"/>
    <w:rsid w:val="00D821F0"/>
    <w:rsid w:val="00D82D77"/>
    <w:rsid w:val="00D84FC5"/>
    <w:rsid w:val="00D871C2"/>
    <w:rsid w:val="00D8736D"/>
    <w:rsid w:val="00D93AB7"/>
    <w:rsid w:val="00DA3F48"/>
    <w:rsid w:val="00DB25C5"/>
    <w:rsid w:val="00DB597C"/>
    <w:rsid w:val="00DC744F"/>
    <w:rsid w:val="00DC7CA2"/>
    <w:rsid w:val="00DD2150"/>
    <w:rsid w:val="00DD3D28"/>
    <w:rsid w:val="00DD7AC7"/>
    <w:rsid w:val="00DD7F42"/>
    <w:rsid w:val="00DF3FC8"/>
    <w:rsid w:val="00DF532C"/>
    <w:rsid w:val="00DF7BF2"/>
    <w:rsid w:val="00E04489"/>
    <w:rsid w:val="00E1021C"/>
    <w:rsid w:val="00E12AD6"/>
    <w:rsid w:val="00E13AD5"/>
    <w:rsid w:val="00E14F2F"/>
    <w:rsid w:val="00E22D6D"/>
    <w:rsid w:val="00E275AB"/>
    <w:rsid w:val="00E30A82"/>
    <w:rsid w:val="00E36F5F"/>
    <w:rsid w:val="00E404AE"/>
    <w:rsid w:val="00E43781"/>
    <w:rsid w:val="00E437FC"/>
    <w:rsid w:val="00E44E7D"/>
    <w:rsid w:val="00E54AA6"/>
    <w:rsid w:val="00E564FD"/>
    <w:rsid w:val="00E62316"/>
    <w:rsid w:val="00E63965"/>
    <w:rsid w:val="00E6699D"/>
    <w:rsid w:val="00E72A4F"/>
    <w:rsid w:val="00E75F25"/>
    <w:rsid w:val="00E7687A"/>
    <w:rsid w:val="00E92C0F"/>
    <w:rsid w:val="00E9370D"/>
    <w:rsid w:val="00EA4211"/>
    <w:rsid w:val="00EB1A31"/>
    <w:rsid w:val="00EC56B4"/>
    <w:rsid w:val="00EE27D8"/>
    <w:rsid w:val="00EE5F88"/>
    <w:rsid w:val="00EF0670"/>
    <w:rsid w:val="00F0087C"/>
    <w:rsid w:val="00F00B60"/>
    <w:rsid w:val="00F047F2"/>
    <w:rsid w:val="00F05E7B"/>
    <w:rsid w:val="00F07657"/>
    <w:rsid w:val="00F1028F"/>
    <w:rsid w:val="00F1255A"/>
    <w:rsid w:val="00F17C40"/>
    <w:rsid w:val="00F20710"/>
    <w:rsid w:val="00F23E91"/>
    <w:rsid w:val="00F2572A"/>
    <w:rsid w:val="00F3599F"/>
    <w:rsid w:val="00F35A98"/>
    <w:rsid w:val="00F4142D"/>
    <w:rsid w:val="00F52D3C"/>
    <w:rsid w:val="00F551A4"/>
    <w:rsid w:val="00F6287E"/>
    <w:rsid w:val="00F64C5F"/>
    <w:rsid w:val="00F729E8"/>
    <w:rsid w:val="00F7434D"/>
    <w:rsid w:val="00F74E68"/>
    <w:rsid w:val="00F752D9"/>
    <w:rsid w:val="00F77EDD"/>
    <w:rsid w:val="00F8008E"/>
    <w:rsid w:val="00F81398"/>
    <w:rsid w:val="00F82849"/>
    <w:rsid w:val="00F82A39"/>
    <w:rsid w:val="00F87575"/>
    <w:rsid w:val="00F934B3"/>
    <w:rsid w:val="00F93C60"/>
    <w:rsid w:val="00F967B8"/>
    <w:rsid w:val="00FA1E37"/>
    <w:rsid w:val="00FA48DB"/>
    <w:rsid w:val="00FA50CE"/>
    <w:rsid w:val="00FA61A1"/>
    <w:rsid w:val="00FB3445"/>
    <w:rsid w:val="00FB3D5C"/>
    <w:rsid w:val="00FB7F6A"/>
    <w:rsid w:val="00FC402E"/>
    <w:rsid w:val="00FC4685"/>
    <w:rsid w:val="00FD463E"/>
    <w:rsid w:val="00FD46FE"/>
    <w:rsid w:val="00FD5AF7"/>
    <w:rsid w:val="00FE1C03"/>
    <w:rsid w:val="00FE7C72"/>
    <w:rsid w:val="00FF2072"/>
    <w:rsid w:val="00FF5C7A"/>
    <w:rsid w:val="00FF5CA0"/>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41850"/>
  <w15:docId w15:val="{69FAF389-F8CB-43C2-88E3-C0983DA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E11"/>
    <w:pPr>
      <w:spacing w:after="0"/>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11"/>
    <w:pPr>
      <w:spacing w:after="200" w:line="276"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7E7D67"/>
    <w:rPr>
      <w:color w:val="0000FF" w:themeColor="hyperlink"/>
      <w:u w:val="single"/>
    </w:rPr>
  </w:style>
  <w:style w:type="paragraph" w:styleId="NoSpacing">
    <w:name w:val="No Spacing"/>
    <w:uiPriority w:val="1"/>
    <w:qFormat/>
    <w:rsid w:val="007E7D67"/>
    <w:pPr>
      <w:spacing w:after="0"/>
    </w:pPr>
  </w:style>
  <w:style w:type="paragraph" w:styleId="Footer">
    <w:name w:val="footer"/>
    <w:basedOn w:val="Normal"/>
    <w:link w:val="FooterChar"/>
    <w:uiPriority w:val="99"/>
    <w:unhideWhenUsed/>
    <w:rsid w:val="00B86EF0"/>
    <w:pPr>
      <w:tabs>
        <w:tab w:val="center" w:pos="4513"/>
        <w:tab w:val="right" w:pos="9026"/>
      </w:tabs>
      <w:jc w:val="left"/>
    </w:pPr>
    <w:rPr>
      <w:rFonts w:eastAsiaTheme="minorHAnsi" w:cstheme="minorBidi"/>
      <w:szCs w:val="22"/>
    </w:rPr>
  </w:style>
  <w:style w:type="character" w:customStyle="1" w:styleId="FooterChar">
    <w:name w:val="Footer Char"/>
    <w:basedOn w:val="DefaultParagraphFont"/>
    <w:link w:val="Footer"/>
    <w:uiPriority w:val="99"/>
    <w:rsid w:val="00B86EF0"/>
  </w:style>
  <w:style w:type="paragraph" w:styleId="Header">
    <w:name w:val="header"/>
    <w:basedOn w:val="Normal"/>
    <w:link w:val="HeaderChar"/>
    <w:uiPriority w:val="99"/>
    <w:unhideWhenUsed/>
    <w:rsid w:val="0076548F"/>
    <w:pPr>
      <w:tabs>
        <w:tab w:val="center" w:pos="4513"/>
        <w:tab w:val="right" w:pos="9026"/>
      </w:tabs>
      <w:jc w:val="left"/>
    </w:pPr>
    <w:rPr>
      <w:rFonts w:eastAsiaTheme="minorHAnsi" w:cstheme="minorBidi"/>
      <w:szCs w:val="22"/>
    </w:rPr>
  </w:style>
  <w:style w:type="character" w:customStyle="1" w:styleId="HeaderChar">
    <w:name w:val="Header Char"/>
    <w:basedOn w:val="DefaultParagraphFont"/>
    <w:link w:val="Header"/>
    <w:uiPriority w:val="99"/>
    <w:rsid w:val="0076548F"/>
  </w:style>
  <w:style w:type="paragraph" w:styleId="BalloonText">
    <w:name w:val="Balloon Text"/>
    <w:basedOn w:val="Normal"/>
    <w:link w:val="BalloonTextChar"/>
    <w:uiPriority w:val="99"/>
    <w:semiHidden/>
    <w:unhideWhenUsed/>
    <w:rsid w:val="00AC3E56"/>
    <w:rPr>
      <w:rFonts w:ascii="Tahoma" w:hAnsi="Tahoma" w:cs="Tahoma"/>
      <w:sz w:val="16"/>
      <w:szCs w:val="16"/>
    </w:rPr>
  </w:style>
  <w:style w:type="character" w:customStyle="1" w:styleId="BalloonTextChar">
    <w:name w:val="Balloon Text Char"/>
    <w:basedOn w:val="DefaultParagraphFont"/>
    <w:link w:val="BalloonText"/>
    <w:uiPriority w:val="99"/>
    <w:semiHidden/>
    <w:rsid w:val="00AC3E56"/>
    <w:rPr>
      <w:rFonts w:ascii="Tahoma" w:eastAsia="Times New Roman" w:hAnsi="Tahoma" w:cs="Tahoma"/>
      <w:sz w:val="16"/>
      <w:szCs w:val="16"/>
    </w:rPr>
  </w:style>
  <w:style w:type="paragraph" w:customStyle="1" w:styleId="Default">
    <w:name w:val="Default"/>
    <w:rsid w:val="002B6F88"/>
    <w:pPr>
      <w:autoSpaceDE w:val="0"/>
      <w:autoSpaceDN w:val="0"/>
      <w:adjustRightInd w:val="0"/>
      <w:spacing w:after="0"/>
    </w:pPr>
    <w:rPr>
      <w:rFonts w:cs="Arial"/>
      <w:color w:val="000000"/>
      <w:szCs w:val="24"/>
    </w:rPr>
  </w:style>
  <w:style w:type="table" w:styleId="TableGrid">
    <w:name w:val="Table Grid"/>
    <w:basedOn w:val="TableNormal"/>
    <w:uiPriority w:val="59"/>
    <w:rsid w:val="00FF5C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7320"/>
    <w:rPr>
      <w:sz w:val="16"/>
      <w:szCs w:val="16"/>
    </w:rPr>
  </w:style>
  <w:style w:type="paragraph" w:styleId="CommentText">
    <w:name w:val="annotation text"/>
    <w:basedOn w:val="Normal"/>
    <w:link w:val="CommentTextChar"/>
    <w:uiPriority w:val="99"/>
    <w:semiHidden/>
    <w:unhideWhenUsed/>
    <w:rsid w:val="00FF7320"/>
    <w:rPr>
      <w:sz w:val="20"/>
    </w:rPr>
  </w:style>
  <w:style w:type="character" w:customStyle="1" w:styleId="CommentTextChar">
    <w:name w:val="Comment Text Char"/>
    <w:basedOn w:val="DefaultParagraphFont"/>
    <w:link w:val="CommentText"/>
    <w:uiPriority w:val="99"/>
    <w:semiHidden/>
    <w:rsid w:val="00FF732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7320"/>
    <w:rPr>
      <w:b/>
      <w:bCs/>
    </w:rPr>
  </w:style>
  <w:style w:type="character" w:customStyle="1" w:styleId="CommentSubjectChar">
    <w:name w:val="Comment Subject Char"/>
    <w:basedOn w:val="CommentTextChar"/>
    <w:link w:val="CommentSubject"/>
    <w:uiPriority w:val="99"/>
    <w:semiHidden/>
    <w:rsid w:val="00FF7320"/>
    <w:rPr>
      <w:rFonts w:eastAsia="Times New Roman" w:cs="Times New Roman"/>
      <w:b/>
      <w:bCs/>
      <w:sz w:val="20"/>
      <w:szCs w:val="20"/>
    </w:rPr>
  </w:style>
  <w:style w:type="paragraph" w:styleId="PlainText">
    <w:name w:val="Plain Text"/>
    <w:basedOn w:val="Normal"/>
    <w:link w:val="PlainTextChar"/>
    <w:uiPriority w:val="99"/>
    <w:semiHidden/>
    <w:unhideWhenUsed/>
    <w:rsid w:val="00E437FC"/>
    <w:pPr>
      <w:jc w:val="left"/>
    </w:pPr>
    <w:rPr>
      <w:rFonts w:ascii="Calibri" w:eastAsia="MS PGothic" w:hAnsi="Calibri" w:cs="MS PGothic"/>
      <w:sz w:val="22"/>
      <w:szCs w:val="22"/>
    </w:rPr>
  </w:style>
  <w:style w:type="character" w:customStyle="1" w:styleId="PlainTextChar">
    <w:name w:val="Plain Text Char"/>
    <w:basedOn w:val="DefaultParagraphFont"/>
    <w:link w:val="PlainText"/>
    <w:uiPriority w:val="99"/>
    <w:semiHidden/>
    <w:rsid w:val="00E437FC"/>
    <w:rPr>
      <w:rFonts w:ascii="Calibri" w:eastAsia="MS PGothic" w:hAnsi="Calibri" w:cs="MS PGothic"/>
      <w:sz w:val="22"/>
    </w:rPr>
  </w:style>
  <w:style w:type="paragraph" w:styleId="FootnoteText">
    <w:name w:val="footnote text"/>
    <w:basedOn w:val="Normal"/>
    <w:link w:val="FootnoteTextChar"/>
    <w:unhideWhenUsed/>
    <w:rsid w:val="00187576"/>
    <w:rPr>
      <w:sz w:val="20"/>
    </w:rPr>
  </w:style>
  <w:style w:type="character" w:customStyle="1" w:styleId="FootnoteTextChar">
    <w:name w:val="Footnote Text Char"/>
    <w:basedOn w:val="DefaultParagraphFont"/>
    <w:link w:val="FootnoteText"/>
    <w:rsid w:val="00187576"/>
    <w:rPr>
      <w:rFonts w:eastAsia="Times New Roman" w:cs="Times New Roman"/>
      <w:sz w:val="20"/>
      <w:szCs w:val="20"/>
    </w:rPr>
  </w:style>
  <w:style w:type="character" w:styleId="FootnoteReference">
    <w:name w:val="footnote reference"/>
    <w:basedOn w:val="DefaultParagraphFont"/>
    <w:unhideWhenUsed/>
    <w:rsid w:val="00187576"/>
    <w:rPr>
      <w:vertAlign w:val="superscript"/>
    </w:rPr>
  </w:style>
  <w:style w:type="character" w:styleId="UnresolvedMention">
    <w:name w:val="Unresolved Mention"/>
    <w:basedOn w:val="DefaultParagraphFont"/>
    <w:uiPriority w:val="99"/>
    <w:semiHidden/>
    <w:unhideWhenUsed/>
    <w:rsid w:val="00EA4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155">
      <w:bodyDiv w:val="1"/>
      <w:marLeft w:val="0"/>
      <w:marRight w:val="0"/>
      <w:marTop w:val="0"/>
      <w:marBottom w:val="0"/>
      <w:divBdr>
        <w:top w:val="none" w:sz="0" w:space="0" w:color="auto"/>
        <w:left w:val="none" w:sz="0" w:space="0" w:color="auto"/>
        <w:bottom w:val="none" w:sz="0" w:space="0" w:color="auto"/>
        <w:right w:val="none" w:sz="0" w:space="0" w:color="auto"/>
      </w:divBdr>
    </w:div>
    <w:div w:id="515729719">
      <w:bodyDiv w:val="1"/>
      <w:marLeft w:val="0"/>
      <w:marRight w:val="0"/>
      <w:marTop w:val="0"/>
      <w:marBottom w:val="0"/>
      <w:divBdr>
        <w:top w:val="none" w:sz="0" w:space="0" w:color="auto"/>
        <w:left w:val="none" w:sz="0" w:space="0" w:color="auto"/>
        <w:bottom w:val="none" w:sz="0" w:space="0" w:color="auto"/>
        <w:right w:val="none" w:sz="0" w:space="0" w:color="auto"/>
      </w:divBdr>
    </w:div>
    <w:div w:id="706688038">
      <w:bodyDiv w:val="1"/>
      <w:marLeft w:val="0"/>
      <w:marRight w:val="0"/>
      <w:marTop w:val="0"/>
      <w:marBottom w:val="0"/>
      <w:divBdr>
        <w:top w:val="none" w:sz="0" w:space="0" w:color="auto"/>
        <w:left w:val="none" w:sz="0" w:space="0" w:color="auto"/>
        <w:bottom w:val="none" w:sz="0" w:space="0" w:color="auto"/>
        <w:right w:val="none" w:sz="0" w:space="0" w:color="auto"/>
      </w:divBdr>
    </w:div>
    <w:div w:id="1143811142">
      <w:bodyDiv w:val="1"/>
      <w:marLeft w:val="0"/>
      <w:marRight w:val="0"/>
      <w:marTop w:val="0"/>
      <w:marBottom w:val="0"/>
      <w:divBdr>
        <w:top w:val="none" w:sz="0" w:space="0" w:color="auto"/>
        <w:left w:val="none" w:sz="0" w:space="0" w:color="auto"/>
        <w:bottom w:val="none" w:sz="0" w:space="0" w:color="auto"/>
        <w:right w:val="none" w:sz="0" w:space="0" w:color="auto"/>
      </w:divBdr>
    </w:div>
    <w:div w:id="1297907351">
      <w:bodyDiv w:val="1"/>
      <w:marLeft w:val="0"/>
      <w:marRight w:val="0"/>
      <w:marTop w:val="0"/>
      <w:marBottom w:val="0"/>
      <w:divBdr>
        <w:top w:val="none" w:sz="0" w:space="0" w:color="auto"/>
        <w:left w:val="none" w:sz="0" w:space="0" w:color="auto"/>
        <w:bottom w:val="none" w:sz="0" w:space="0" w:color="auto"/>
        <w:right w:val="none" w:sz="0" w:space="0" w:color="auto"/>
      </w:divBdr>
    </w:div>
    <w:div w:id="1384602801">
      <w:bodyDiv w:val="1"/>
      <w:marLeft w:val="0"/>
      <w:marRight w:val="0"/>
      <w:marTop w:val="0"/>
      <w:marBottom w:val="0"/>
      <w:divBdr>
        <w:top w:val="none" w:sz="0" w:space="0" w:color="auto"/>
        <w:left w:val="none" w:sz="0" w:space="0" w:color="auto"/>
        <w:bottom w:val="none" w:sz="0" w:space="0" w:color="auto"/>
        <w:right w:val="none" w:sz="0" w:space="0" w:color="auto"/>
      </w:divBdr>
    </w:div>
    <w:div w:id="1657568562">
      <w:bodyDiv w:val="1"/>
      <w:marLeft w:val="0"/>
      <w:marRight w:val="0"/>
      <w:marTop w:val="0"/>
      <w:marBottom w:val="0"/>
      <w:divBdr>
        <w:top w:val="none" w:sz="0" w:space="0" w:color="auto"/>
        <w:left w:val="none" w:sz="0" w:space="0" w:color="auto"/>
        <w:bottom w:val="none" w:sz="0" w:space="0" w:color="auto"/>
        <w:right w:val="none" w:sz="0" w:space="0" w:color="auto"/>
      </w:divBdr>
    </w:div>
    <w:div w:id="2017689034">
      <w:bodyDiv w:val="1"/>
      <w:marLeft w:val="0"/>
      <w:marRight w:val="0"/>
      <w:marTop w:val="0"/>
      <w:marBottom w:val="0"/>
      <w:divBdr>
        <w:top w:val="none" w:sz="0" w:space="0" w:color="auto"/>
        <w:left w:val="none" w:sz="0" w:space="0" w:color="auto"/>
        <w:bottom w:val="none" w:sz="0" w:space="0" w:color="auto"/>
        <w:right w:val="none" w:sz="0" w:space="0" w:color="auto"/>
      </w:divBdr>
      <w:divsChild>
        <w:div w:id="344526148">
          <w:marLeft w:val="0"/>
          <w:marRight w:val="0"/>
          <w:marTop w:val="0"/>
          <w:marBottom w:val="0"/>
          <w:divBdr>
            <w:top w:val="none" w:sz="0" w:space="0" w:color="auto"/>
            <w:left w:val="none" w:sz="0" w:space="0" w:color="auto"/>
            <w:bottom w:val="none" w:sz="0" w:space="0" w:color="auto"/>
            <w:right w:val="none" w:sz="0" w:space="0" w:color="auto"/>
          </w:divBdr>
          <w:divsChild>
            <w:div w:id="1115366053">
              <w:marLeft w:val="1350"/>
              <w:marRight w:val="1350"/>
              <w:marTop w:val="0"/>
              <w:marBottom w:val="0"/>
              <w:divBdr>
                <w:top w:val="none" w:sz="0" w:space="0" w:color="auto"/>
                <w:left w:val="none" w:sz="0" w:space="0" w:color="auto"/>
                <w:bottom w:val="none" w:sz="0" w:space="0" w:color="auto"/>
                <w:right w:val="none" w:sz="0" w:space="0" w:color="auto"/>
              </w:divBdr>
              <w:divsChild>
                <w:div w:id="236942936">
                  <w:marLeft w:val="0"/>
                  <w:marRight w:val="0"/>
                  <w:marTop w:val="300"/>
                  <w:marBottom w:val="0"/>
                  <w:divBdr>
                    <w:top w:val="dashed" w:sz="2" w:space="0" w:color="008B7F"/>
                    <w:left w:val="none" w:sz="0" w:space="0" w:color="auto"/>
                    <w:bottom w:val="none" w:sz="0" w:space="0" w:color="auto"/>
                    <w:right w:val="none" w:sz="0" w:space="0" w:color="auto"/>
                  </w:divBdr>
                </w:div>
              </w:divsChild>
            </w:div>
          </w:divsChild>
        </w:div>
      </w:divsChild>
    </w:div>
    <w:div w:id="2047827505">
      <w:bodyDiv w:val="1"/>
      <w:marLeft w:val="0"/>
      <w:marRight w:val="0"/>
      <w:marTop w:val="0"/>
      <w:marBottom w:val="0"/>
      <w:divBdr>
        <w:top w:val="none" w:sz="0" w:space="0" w:color="auto"/>
        <w:left w:val="none" w:sz="0" w:space="0" w:color="auto"/>
        <w:bottom w:val="none" w:sz="0" w:space="0" w:color="auto"/>
        <w:right w:val="none" w:sz="0" w:space="0" w:color="auto"/>
      </w:divBdr>
    </w:div>
    <w:div w:id="20777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george@norfol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norfolk.gov.uk\nccdfs1\Accounting-CorpFin\2020budg\Government%20Funding\DfE%20Consultation\DSG%20HNB%20Disapplication%20Request\Graph%20for%20disapp%20request%20FINAL%20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Sheet1!$A$4</c:f>
              <c:strCache>
                <c:ptCount val="1"/>
                <c:pt idx="0">
                  <c:v>High Needs Block Budget (inc agreed movement from Schools)</c:v>
                </c:pt>
              </c:strCache>
            </c:strRef>
          </c:tx>
          <c:spPr>
            <a:solidFill>
              <a:schemeClr val="accent1"/>
            </a:solidFill>
            <a:ln>
              <a:noFill/>
            </a:ln>
            <a:effectLst/>
          </c:spPr>
          <c:invertIfNegative val="0"/>
          <c:cat>
            <c:strRef>
              <c:f>Sheet1!$B$3:$F$3</c:f>
              <c:strCache>
                <c:ptCount val="5"/>
                <c:pt idx="0">
                  <c:v>2015-16</c:v>
                </c:pt>
                <c:pt idx="1">
                  <c:v>2016-17</c:v>
                </c:pt>
                <c:pt idx="2">
                  <c:v>2017-18</c:v>
                </c:pt>
                <c:pt idx="3">
                  <c:v>2018-19</c:v>
                </c:pt>
                <c:pt idx="4">
                  <c:v>2019-20</c:v>
                </c:pt>
              </c:strCache>
            </c:strRef>
          </c:cat>
          <c:val>
            <c:numRef>
              <c:f>Sheet1!$B$4:$F$4</c:f>
              <c:numCache>
                <c:formatCode>General</c:formatCode>
                <c:ptCount val="5"/>
                <c:pt idx="0">
                  <c:v>68.055000000000007</c:v>
                </c:pt>
                <c:pt idx="1">
                  <c:v>68.914000000000001</c:v>
                </c:pt>
                <c:pt idx="2">
                  <c:v>77.048000000000002</c:v>
                </c:pt>
                <c:pt idx="3">
                  <c:v>81.025000000000006</c:v>
                </c:pt>
                <c:pt idx="4" formatCode="0.000">
                  <c:v>84.210000000000008</c:v>
                </c:pt>
              </c:numCache>
            </c:numRef>
          </c:val>
          <c:extLst>
            <c:ext xmlns:c16="http://schemas.microsoft.com/office/drawing/2014/chart" uri="{C3380CC4-5D6E-409C-BE32-E72D297353CC}">
              <c16:uniqueId val="{00000000-7644-4928-8956-A3C51D5C6DA4}"/>
            </c:ext>
          </c:extLst>
        </c:ser>
        <c:ser>
          <c:idx val="1"/>
          <c:order val="1"/>
          <c:tx>
            <c:strRef>
              <c:f>Sheet1!$A$5</c:f>
              <c:strCache>
                <c:ptCount val="1"/>
                <c:pt idx="0">
                  <c:v>Overspend</c:v>
                </c:pt>
              </c:strCache>
            </c:strRef>
          </c:tx>
          <c:spPr>
            <a:solidFill>
              <a:schemeClr val="accent2"/>
            </a:solidFill>
            <a:ln>
              <a:noFill/>
            </a:ln>
            <a:effectLst/>
          </c:spPr>
          <c:invertIfNegative val="0"/>
          <c:cat>
            <c:strRef>
              <c:f>Sheet1!$B$3:$F$3</c:f>
              <c:strCache>
                <c:ptCount val="5"/>
                <c:pt idx="0">
                  <c:v>2015-16</c:v>
                </c:pt>
                <c:pt idx="1">
                  <c:v>2016-17</c:v>
                </c:pt>
                <c:pt idx="2">
                  <c:v>2017-18</c:v>
                </c:pt>
                <c:pt idx="3">
                  <c:v>2018-19</c:v>
                </c:pt>
                <c:pt idx="4">
                  <c:v>2019-20</c:v>
                </c:pt>
              </c:strCache>
            </c:strRef>
          </c:cat>
          <c:val>
            <c:numRef>
              <c:f>Sheet1!$B$5:$F$5</c:f>
              <c:numCache>
                <c:formatCode>General</c:formatCode>
                <c:ptCount val="5"/>
                <c:pt idx="0">
                  <c:v>4.6119999999999948</c:v>
                </c:pt>
                <c:pt idx="1">
                  <c:v>8.125</c:v>
                </c:pt>
                <c:pt idx="2">
                  <c:v>10.593999999999994</c:v>
                </c:pt>
                <c:pt idx="3">
                  <c:v>9.7419999999999902</c:v>
                </c:pt>
                <c:pt idx="4" formatCode="0.000">
                  <c:v>10.248999999999981</c:v>
                </c:pt>
              </c:numCache>
            </c:numRef>
          </c:val>
          <c:extLst>
            <c:ext xmlns:c16="http://schemas.microsoft.com/office/drawing/2014/chart" uri="{C3380CC4-5D6E-409C-BE32-E72D297353CC}">
              <c16:uniqueId val="{00000001-7644-4928-8956-A3C51D5C6DA4}"/>
            </c:ext>
          </c:extLst>
        </c:ser>
        <c:dLbls>
          <c:showLegendKey val="0"/>
          <c:showVal val="0"/>
          <c:showCatName val="0"/>
          <c:showSerName val="0"/>
          <c:showPercent val="0"/>
          <c:showBubbleSize val="0"/>
        </c:dLbls>
        <c:gapWidth val="150"/>
        <c:overlap val="100"/>
        <c:axId val="425089728"/>
        <c:axId val="425092024"/>
      </c:barChart>
      <c:lineChart>
        <c:grouping val="standard"/>
        <c:varyColors val="0"/>
        <c:ser>
          <c:idx val="2"/>
          <c:order val="2"/>
          <c:tx>
            <c:strRef>
              <c:f>Sheet1!$A$6</c:f>
              <c:strCache>
                <c:ptCount val="1"/>
                <c:pt idx="0">
                  <c:v>No of high cost places</c:v>
                </c:pt>
              </c:strCache>
            </c:strRef>
          </c:tx>
          <c:spPr>
            <a:ln w="28575" cap="rnd">
              <a:solidFill>
                <a:schemeClr val="accent3"/>
              </a:solidFill>
              <a:round/>
            </a:ln>
            <a:effectLst/>
          </c:spPr>
          <c:marker>
            <c:symbol val="none"/>
          </c:marker>
          <c:cat>
            <c:strRef>
              <c:f>Sheet1!$B$3:$F$3</c:f>
              <c:strCache>
                <c:ptCount val="5"/>
                <c:pt idx="0">
                  <c:v>2015-16</c:v>
                </c:pt>
                <c:pt idx="1">
                  <c:v>2016-17</c:v>
                </c:pt>
                <c:pt idx="2">
                  <c:v>2017-18</c:v>
                </c:pt>
                <c:pt idx="3">
                  <c:v>2018-19</c:v>
                </c:pt>
                <c:pt idx="4">
                  <c:v>2019-20</c:v>
                </c:pt>
              </c:strCache>
            </c:strRef>
          </c:cat>
          <c:val>
            <c:numRef>
              <c:f>Sheet1!$B$6:$F$6</c:f>
              <c:numCache>
                <c:formatCode>General</c:formatCode>
                <c:ptCount val="5"/>
                <c:pt idx="0">
                  <c:v>2389</c:v>
                </c:pt>
                <c:pt idx="1">
                  <c:v>2673</c:v>
                </c:pt>
                <c:pt idx="2">
                  <c:v>3314</c:v>
                </c:pt>
                <c:pt idx="3">
                  <c:v>3491</c:v>
                </c:pt>
                <c:pt idx="4">
                  <c:v>3656</c:v>
                </c:pt>
              </c:numCache>
            </c:numRef>
          </c:val>
          <c:smooth val="0"/>
          <c:extLst>
            <c:ext xmlns:c16="http://schemas.microsoft.com/office/drawing/2014/chart" uri="{C3380CC4-5D6E-409C-BE32-E72D297353CC}">
              <c16:uniqueId val="{00000002-7644-4928-8956-A3C51D5C6DA4}"/>
            </c:ext>
          </c:extLst>
        </c:ser>
        <c:dLbls>
          <c:showLegendKey val="0"/>
          <c:showVal val="0"/>
          <c:showCatName val="0"/>
          <c:showSerName val="0"/>
          <c:showPercent val="0"/>
          <c:showBubbleSize val="0"/>
        </c:dLbls>
        <c:marker val="1"/>
        <c:smooth val="0"/>
        <c:axId val="424924352"/>
        <c:axId val="424921072"/>
      </c:lineChart>
      <c:catAx>
        <c:axId val="4250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5092024"/>
        <c:crosses val="autoZero"/>
        <c:auto val="1"/>
        <c:lblAlgn val="ctr"/>
        <c:lblOffset val="100"/>
        <c:noMultiLvlLbl val="0"/>
      </c:catAx>
      <c:valAx>
        <c:axId val="4250920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5089728"/>
        <c:crosses val="autoZero"/>
        <c:crossBetween val="between"/>
      </c:valAx>
      <c:valAx>
        <c:axId val="424921072"/>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No of places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4924352"/>
        <c:crosses val="max"/>
        <c:crossBetween val="between"/>
      </c:valAx>
      <c:catAx>
        <c:axId val="424924352"/>
        <c:scaling>
          <c:orientation val="minMax"/>
        </c:scaling>
        <c:delete val="1"/>
        <c:axPos val="b"/>
        <c:numFmt formatCode="General" sourceLinked="1"/>
        <c:majorTickMark val="out"/>
        <c:minorTickMark val="none"/>
        <c:tickLblPos val="nextTo"/>
        <c:crossAx val="424921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BBD6-EAF7-4BB1-BC59-54494B95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Maria</dc:creator>
  <cp:keywords/>
  <dc:description/>
  <cp:lastModifiedBy>Harding, Deborah</cp:lastModifiedBy>
  <cp:revision>4</cp:revision>
  <cp:lastPrinted>2019-01-04T13:15:00Z</cp:lastPrinted>
  <dcterms:created xsi:type="dcterms:W3CDTF">2019-01-25T09:43:00Z</dcterms:created>
  <dcterms:modified xsi:type="dcterms:W3CDTF">2020-06-30T16:42:00Z</dcterms:modified>
</cp:coreProperties>
</file>