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5F33D" w14:textId="77777777" w:rsidR="00681AD9" w:rsidRPr="003D2B87" w:rsidRDefault="00681AD9" w:rsidP="00681AD9">
      <w:pPr>
        <w:spacing w:after="0" w:line="240" w:lineRule="auto"/>
        <w:jc w:val="center"/>
        <w:rPr>
          <w:rFonts w:ascii="Arial" w:eastAsia="Times New Roman" w:hAnsi="Arial" w:cs="Arial"/>
          <w:b/>
          <w:sz w:val="54"/>
          <w:szCs w:val="54"/>
        </w:rPr>
      </w:pPr>
      <w:bookmarkStart w:id="0" w:name="_GoBack"/>
      <w:bookmarkEnd w:id="0"/>
      <w:r w:rsidRPr="003D2B87">
        <w:rPr>
          <w:rFonts w:ascii="Arial" w:eastAsia="Times New Roman" w:hAnsi="Arial" w:cs="Arial"/>
          <w:b/>
          <w:sz w:val="54"/>
          <w:szCs w:val="54"/>
        </w:rPr>
        <w:t>Schools’ Forum</w:t>
      </w:r>
    </w:p>
    <w:p w14:paraId="538129E0" w14:textId="77777777" w:rsidR="00681AD9" w:rsidRPr="003D2B87" w:rsidRDefault="00681AD9" w:rsidP="00681AD9">
      <w:pPr>
        <w:spacing w:after="0" w:line="240" w:lineRule="auto"/>
        <w:jc w:val="right"/>
        <w:rPr>
          <w:rFonts w:ascii="Arial" w:eastAsia="Times New Roman" w:hAnsi="Arial" w:cs="Arial"/>
          <w:b/>
          <w:bCs/>
          <w:sz w:val="24"/>
          <w:szCs w:val="20"/>
        </w:rPr>
      </w:pPr>
      <w:r w:rsidRPr="003D2B87">
        <w:rPr>
          <w:rFonts w:ascii="Arial" w:eastAsia="Times New Roman" w:hAnsi="Arial" w:cs="Arial"/>
          <w:b/>
          <w:bCs/>
          <w:sz w:val="24"/>
          <w:szCs w:val="20"/>
        </w:rPr>
        <w:t>Item No. 7</w:t>
      </w:r>
    </w:p>
    <w:p w14:paraId="1D30517E" w14:textId="77777777" w:rsidR="00681AD9" w:rsidRPr="003D2B87" w:rsidRDefault="00681AD9" w:rsidP="00681AD9">
      <w:pPr>
        <w:spacing w:after="0" w:line="240" w:lineRule="auto"/>
        <w:jc w:val="right"/>
        <w:rPr>
          <w:rFonts w:ascii="Arial" w:eastAsia="Times New Roman" w:hAnsi="Arial" w:cs="Arial"/>
          <w:b/>
          <w:bCs/>
          <w:sz w:val="24"/>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55"/>
      </w:tblGrid>
      <w:tr w:rsidR="00681AD9" w:rsidRPr="003D2B87" w14:paraId="4EA1148E" w14:textId="77777777" w:rsidTr="00681AD9">
        <w:tc>
          <w:tcPr>
            <w:tcW w:w="2988" w:type="dxa"/>
            <w:shd w:val="clear" w:color="auto" w:fill="auto"/>
          </w:tcPr>
          <w:p w14:paraId="61B31474" w14:textId="77777777" w:rsidR="00681AD9" w:rsidRPr="003D2B87" w:rsidRDefault="00681AD9" w:rsidP="00681AD9">
            <w:pPr>
              <w:spacing w:after="0" w:line="240" w:lineRule="auto"/>
              <w:rPr>
                <w:rFonts w:ascii="Arial" w:eastAsia="Times New Roman" w:hAnsi="Arial" w:cs="Arial"/>
                <w:b/>
                <w:sz w:val="28"/>
                <w:szCs w:val="28"/>
              </w:rPr>
            </w:pPr>
            <w:r w:rsidRPr="003D2B87">
              <w:rPr>
                <w:rFonts w:ascii="Arial" w:eastAsia="Times New Roman" w:hAnsi="Arial" w:cs="Arial"/>
                <w:b/>
                <w:sz w:val="28"/>
                <w:szCs w:val="28"/>
              </w:rPr>
              <w:t>Report title:</w:t>
            </w:r>
          </w:p>
        </w:tc>
        <w:tc>
          <w:tcPr>
            <w:tcW w:w="6255" w:type="dxa"/>
            <w:shd w:val="clear" w:color="auto" w:fill="auto"/>
          </w:tcPr>
          <w:p w14:paraId="2E24A37F" w14:textId="77777777" w:rsidR="00681AD9" w:rsidRPr="003D2B87" w:rsidRDefault="00681AD9" w:rsidP="00681AD9">
            <w:pPr>
              <w:spacing w:after="0" w:line="240" w:lineRule="auto"/>
              <w:rPr>
                <w:rFonts w:ascii="Arial" w:eastAsia="Times New Roman" w:hAnsi="Arial" w:cs="Arial"/>
                <w:b/>
                <w:sz w:val="28"/>
                <w:szCs w:val="28"/>
              </w:rPr>
            </w:pPr>
            <w:r w:rsidRPr="003D2B87">
              <w:rPr>
                <w:rFonts w:ascii="Arial" w:eastAsia="Times New Roman" w:hAnsi="Arial" w:cs="Arial"/>
                <w:b/>
                <w:sz w:val="28"/>
                <w:szCs w:val="28"/>
              </w:rPr>
              <w:t>Fair Funding Consultation/National Funding Formula</w:t>
            </w:r>
          </w:p>
        </w:tc>
      </w:tr>
      <w:tr w:rsidR="00681AD9" w:rsidRPr="003D2B87" w14:paraId="464D8C85" w14:textId="77777777" w:rsidTr="00681AD9">
        <w:tc>
          <w:tcPr>
            <w:tcW w:w="2988" w:type="dxa"/>
            <w:shd w:val="clear" w:color="auto" w:fill="auto"/>
          </w:tcPr>
          <w:p w14:paraId="149E6820" w14:textId="77777777" w:rsidR="00681AD9" w:rsidRPr="003D2B87" w:rsidRDefault="00681AD9" w:rsidP="00681AD9">
            <w:pPr>
              <w:spacing w:after="0" w:line="240" w:lineRule="auto"/>
              <w:rPr>
                <w:rFonts w:ascii="Arial" w:eastAsia="Times New Roman" w:hAnsi="Arial" w:cs="Arial"/>
                <w:b/>
                <w:sz w:val="28"/>
                <w:szCs w:val="28"/>
              </w:rPr>
            </w:pPr>
            <w:r w:rsidRPr="003D2B87">
              <w:rPr>
                <w:rFonts w:ascii="Arial" w:eastAsia="Times New Roman" w:hAnsi="Arial" w:cs="Arial"/>
                <w:b/>
                <w:sz w:val="28"/>
                <w:szCs w:val="28"/>
              </w:rPr>
              <w:t>Date of meeting:</w:t>
            </w:r>
          </w:p>
        </w:tc>
        <w:tc>
          <w:tcPr>
            <w:tcW w:w="6255" w:type="dxa"/>
            <w:shd w:val="clear" w:color="auto" w:fill="auto"/>
          </w:tcPr>
          <w:p w14:paraId="1C0D539E" w14:textId="77777777" w:rsidR="00681AD9" w:rsidRPr="003D2B87" w:rsidRDefault="00681AD9" w:rsidP="00681AD9">
            <w:pPr>
              <w:spacing w:after="0" w:line="240" w:lineRule="auto"/>
              <w:rPr>
                <w:rFonts w:ascii="Arial" w:eastAsia="Times New Roman" w:hAnsi="Arial" w:cs="Arial"/>
                <w:b/>
                <w:sz w:val="28"/>
                <w:szCs w:val="28"/>
              </w:rPr>
            </w:pPr>
            <w:r w:rsidRPr="003D2B87">
              <w:rPr>
                <w:rFonts w:ascii="Arial" w:eastAsia="Times New Roman" w:hAnsi="Arial" w:cs="Arial"/>
                <w:b/>
                <w:sz w:val="28"/>
                <w:szCs w:val="28"/>
              </w:rPr>
              <w:t>22 November 2019</w:t>
            </w:r>
          </w:p>
        </w:tc>
      </w:tr>
    </w:tbl>
    <w:p w14:paraId="2814A608" w14:textId="77777777" w:rsidR="00681AD9" w:rsidRPr="003D2B87" w:rsidRDefault="00681AD9" w:rsidP="00681AD9">
      <w:pPr>
        <w:spacing w:after="0" w:line="240" w:lineRule="auto"/>
        <w:rPr>
          <w:rFonts w:ascii="Arial" w:eastAsia="Times New Roman" w:hAnsi="Arial" w:cs="Arial"/>
          <w:sz w:val="24"/>
          <w:szCs w:val="24"/>
        </w:rPr>
      </w:pPr>
    </w:p>
    <w:p w14:paraId="3B3240F8" w14:textId="77777777" w:rsidR="00681AD9" w:rsidRPr="003D2B87" w:rsidRDefault="00681AD9" w:rsidP="00681AD9">
      <w:pPr>
        <w:spacing w:after="0" w:line="240" w:lineRule="auto"/>
        <w:rPr>
          <w:rFonts w:ascii="Arial" w:eastAsia="Times New Roman" w:hAnsi="Arial" w:cs="Arial"/>
          <w:b/>
          <w:sz w:val="28"/>
          <w:szCs w:val="28"/>
        </w:rPr>
      </w:pPr>
      <w:r w:rsidRPr="003D2B87">
        <w:rPr>
          <w:rFonts w:ascii="Arial" w:eastAsia="Times New Roman" w:hAnsi="Arial" w:cs="Arial"/>
          <w:b/>
          <w:sz w:val="28"/>
          <w:szCs w:val="28"/>
        </w:rPr>
        <w:t xml:space="preserve"> Executive summary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681AD9" w:rsidRPr="003D2B87" w14:paraId="4F48E8CD" w14:textId="77777777" w:rsidTr="00681AD9">
        <w:tc>
          <w:tcPr>
            <w:tcW w:w="9243" w:type="dxa"/>
            <w:shd w:val="clear" w:color="auto" w:fill="auto"/>
          </w:tcPr>
          <w:p w14:paraId="11F34F8D" w14:textId="77777777" w:rsidR="00681AD9" w:rsidRPr="003D2B87" w:rsidRDefault="00681AD9" w:rsidP="00681AD9">
            <w:pPr>
              <w:rPr>
                <w:rFonts w:ascii="Arial" w:hAnsi="Arial" w:cs="Arial"/>
                <w:sz w:val="24"/>
                <w:szCs w:val="24"/>
              </w:rPr>
            </w:pPr>
            <w:r w:rsidRPr="003D2B87">
              <w:rPr>
                <w:rFonts w:ascii="Arial" w:hAnsi="Arial" w:cs="Arial"/>
                <w:sz w:val="24"/>
                <w:szCs w:val="24"/>
              </w:rPr>
              <w:t>This report sets out the proposed changes to the funding distribution formula of the Schools Block of the Dedicated Schools Grant (DSG) from April 2020.</w:t>
            </w:r>
          </w:p>
          <w:p w14:paraId="3E3F8573" w14:textId="77777777" w:rsidR="00681AD9" w:rsidRPr="003D2B87" w:rsidRDefault="00681AD9" w:rsidP="00681AD9">
            <w:pPr>
              <w:rPr>
                <w:rFonts w:ascii="Arial" w:hAnsi="Arial" w:cs="Arial"/>
                <w:sz w:val="24"/>
                <w:szCs w:val="24"/>
              </w:rPr>
            </w:pPr>
            <w:r w:rsidRPr="003D2B87">
              <w:rPr>
                <w:rFonts w:ascii="Arial" w:hAnsi="Arial" w:cs="Arial"/>
                <w:sz w:val="24"/>
                <w:szCs w:val="24"/>
              </w:rPr>
              <w:t>Schools Forum are asked to:</w:t>
            </w:r>
          </w:p>
          <w:p w14:paraId="25EF7395" w14:textId="77777777" w:rsidR="00681AD9" w:rsidRPr="003D2B87" w:rsidRDefault="00681AD9" w:rsidP="00681AD9">
            <w:pPr>
              <w:pStyle w:val="ListParagraph"/>
              <w:numPr>
                <w:ilvl w:val="0"/>
                <w:numId w:val="1"/>
              </w:numPr>
              <w:rPr>
                <w:rFonts w:ascii="Arial" w:hAnsi="Arial" w:cs="Arial"/>
                <w:sz w:val="24"/>
                <w:szCs w:val="24"/>
              </w:rPr>
            </w:pPr>
            <w:r w:rsidRPr="003D2B87">
              <w:rPr>
                <w:rFonts w:ascii="Arial" w:hAnsi="Arial" w:cs="Arial"/>
                <w:sz w:val="24"/>
                <w:szCs w:val="24"/>
              </w:rPr>
              <w:t>Consider and comment on the proposed changes to the distribution formula of the Schools Block of the Dedicated Schools Grant.</w:t>
            </w:r>
          </w:p>
          <w:p w14:paraId="6E31D6B2" w14:textId="77777777" w:rsidR="00681AD9" w:rsidRPr="003D2B87" w:rsidRDefault="00681AD9" w:rsidP="00681AD9">
            <w:pPr>
              <w:pStyle w:val="ListParagraph"/>
              <w:rPr>
                <w:rFonts w:ascii="Arial" w:hAnsi="Arial" w:cs="Arial"/>
                <w:sz w:val="24"/>
                <w:szCs w:val="24"/>
              </w:rPr>
            </w:pPr>
          </w:p>
          <w:p w14:paraId="09065404" w14:textId="77777777" w:rsidR="00681AD9" w:rsidRPr="003D2B87" w:rsidRDefault="00681AD9" w:rsidP="00681AD9">
            <w:pPr>
              <w:pStyle w:val="ListParagraph"/>
              <w:numPr>
                <w:ilvl w:val="0"/>
                <w:numId w:val="1"/>
              </w:numPr>
              <w:rPr>
                <w:rFonts w:ascii="Arial" w:hAnsi="Arial" w:cs="Arial"/>
                <w:sz w:val="24"/>
                <w:szCs w:val="24"/>
              </w:rPr>
            </w:pPr>
            <w:r w:rsidRPr="003D2B87">
              <w:rPr>
                <w:rFonts w:ascii="Arial" w:hAnsi="Arial" w:cs="Arial"/>
                <w:sz w:val="24"/>
                <w:szCs w:val="24"/>
              </w:rPr>
              <w:t>Consider and comment on the movement of funding to the High Needs Block.</w:t>
            </w:r>
          </w:p>
          <w:p w14:paraId="52D1DFEA" w14:textId="77777777" w:rsidR="00681AD9" w:rsidRPr="003D2B87" w:rsidRDefault="00681AD9" w:rsidP="00681AD9">
            <w:pPr>
              <w:pStyle w:val="ListParagraph"/>
              <w:rPr>
                <w:rFonts w:ascii="Arial" w:hAnsi="Arial" w:cs="Arial"/>
                <w:sz w:val="24"/>
                <w:szCs w:val="24"/>
              </w:rPr>
            </w:pPr>
          </w:p>
          <w:p w14:paraId="5887F244" w14:textId="77777777" w:rsidR="00681AD9" w:rsidRPr="003D2B87" w:rsidRDefault="00681AD9" w:rsidP="00681AD9">
            <w:pPr>
              <w:pStyle w:val="ListParagraph"/>
              <w:numPr>
                <w:ilvl w:val="0"/>
                <w:numId w:val="1"/>
              </w:numPr>
              <w:rPr>
                <w:rFonts w:ascii="Arial" w:hAnsi="Arial" w:cs="Arial"/>
                <w:sz w:val="24"/>
                <w:szCs w:val="24"/>
              </w:rPr>
            </w:pPr>
            <w:r w:rsidRPr="003D2B87">
              <w:rPr>
                <w:rFonts w:ascii="Arial" w:hAnsi="Arial" w:cs="Arial"/>
                <w:sz w:val="24"/>
                <w:szCs w:val="24"/>
              </w:rPr>
              <w:t xml:space="preserve">Vote on continuation of the movement of 0.5% from the Schools Block to the High </w:t>
            </w:r>
            <w:r w:rsidR="006B2CF5">
              <w:rPr>
                <w:rFonts w:ascii="Arial" w:hAnsi="Arial" w:cs="Arial"/>
                <w:sz w:val="24"/>
                <w:szCs w:val="24"/>
              </w:rPr>
              <w:t>N</w:t>
            </w:r>
            <w:r w:rsidRPr="003D2B87">
              <w:rPr>
                <w:rFonts w:ascii="Arial" w:hAnsi="Arial" w:cs="Arial"/>
                <w:sz w:val="24"/>
                <w:szCs w:val="24"/>
              </w:rPr>
              <w:t>eeds Block.</w:t>
            </w:r>
          </w:p>
          <w:p w14:paraId="726607DF" w14:textId="77777777" w:rsidR="00681AD9" w:rsidRPr="003D2B87" w:rsidRDefault="00681AD9" w:rsidP="00681AD9">
            <w:pPr>
              <w:spacing w:after="0" w:line="240" w:lineRule="auto"/>
              <w:rPr>
                <w:rFonts w:ascii="Arial" w:eastAsia="Times New Roman" w:hAnsi="Arial" w:cs="Arial"/>
                <w:b/>
                <w:sz w:val="24"/>
                <w:szCs w:val="20"/>
              </w:rPr>
            </w:pPr>
          </w:p>
        </w:tc>
      </w:tr>
    </w:tbl>
    <w:p w14:paraId="3B17E4CD" w14:textId="77777777" w:rsidR="00DA5B74" w:rsidRPr="003D2B87" w:rsidRDefault="00DA5B74" w:rsidP="00DA5B74">
      <w:pPr>
        <w:jc w:val="both"/>
        <w:rPr>
          <w:rFonts w:ascii="Arial" w:hAnsi="Arial" w:cs="Arial"/>
          <w:b/>
          <w:sz w:val="24"/>
          <w:szCs w:val="24"/>
        </w:rPr>
      </w:pPr>
    </w:p>
    <w:p w14:paraId="1EB16EA2" w14:textId="77777777" w:rsidR="00AA4070" w:rsidRPr="003D2B87" w:rsidRDefault="00AA4070" w:rsidP="00AA4070">
      <w:pPr>
        <w:rPr>
          <w:rFonts w:ascii="Arial" w:hAnsi="Arial" w:cs="Arial"/>
          <w:sz w:val="24"/>
          <w:szCs w:val="24"/>
        </w:rPr>
      </w:pPr>
      <w:r w:rsidRPr="003D2B87">
        <w:rPr>
          <w:rFonts w:ascii="Arial" w:hAnsi="Arial" w:cs="Arial"/>
          <w:sz w:val="24"/>
          <w:szCs w:val="24"/>
        </w:rPr>
        <w:t xml:space="preserve">The </w:t>
      </w:r>
      <w:r w:rsidR="00442044" w:rsidRPr="003D2B87">
        <w:rPr>
          <w:rFonts w:ascii="Arial" w:hAnsi="Arial" w:cs="Arial"/>
          <w:sz w:val="24"/>
          <w:szCs w:val="24"/>
        </w:rPr>
        <w:t xml:space="preserve">Department of Education announced </w:t>
      </w:r>
      <w:r w:rsidRPr="003D2B87">
        <w:rPr>
          <w:rFonts w:ascii="Arial" w:hAnsi="Arial" w:cs="Arial"/>
          <w:sz w:val="24"/>
          <w:szCs w:val="24"/>
        </w:rPr>
        <w:t>arrangements for the 20</w:t>
      </w:r>
      <w:r w:rsidR="00442044" w:rsidRPr="003D2B87">
        <w:rPr>
          <w:rFonts w:ascii="Arial" w:hAnsi="Arial" w:cs="Arial"/>
          <w:sz w:val="24"/>
          <w:szCs w:val="24"/>
        </w:rPr>
        <w:t>20</w:t>
      </w:r>
      <w:r w:rsidRPr="003D2B87">
        <w:rPr>
          <w:rFonts w:ascii="Arial" w:hAnsi="Arial" w:cs="Arial"/>
          <w:sz w:val="24"/>
          <w:szCs w:val="24"/>
        </w:rPr>
        <w:t>/2</w:t>
      </w:r>
      <w:r w:rsidR="00442044" w:rsidRPr="003D2B87">
        <w:rPr>
          <w:rFonts w:ascii="Arial" w:hAnsi="Arial" w:cs="Arial"/>
          <w:sz w:val="24"/>
          <w:szCs w:val="24"/>
        </w:rPr>
        <w:t>1</w:t>
      </w:r>
      <w:r w:rsidRPr="003D2B87">
        <w:rPr>
          <w:rFonts w:ascii="Arial" w:hAnsi="Arial" w:cs="Arial"/>
          <w:sz w:val="24"/>
          <w:szCs w:val="24"/>
        </w:rPr>
        <w:t xml:space="preserve"> National Funding Formula </w:t>
      </w:r>
      <w:r w:rsidR="00442044" w:rsidRPr="003D2B87">
        <w:rPr>
          <w:rFonts w:ascii="Arial" w:hAnsi="Arial" w:cs="Arial"/>
          <w:sz w:val="24"/>
          <w:szCs w:val="24"/>
        </w:rPr>
        <w:t xml:space="preserve">on </w:t>
      </w:r>
      <w:r w:rsidRPr="003D2B87">
        <w:rPr>
          <w:rFonts w:ascii="Arial" w:hAnsi="Arial" w:cs="Arial"/>
          <w:sz w:val="24"/>
          <w:szCs w:val="24"/>
        </w:rPr>
        <w:t xml:space="preserve">the </w:t>
      </w:r>
      <w:hyperlink r:id="rId7" w:history="1">
        <w:r w:rsidRPr="003D2B87">
          <w:rPr>
            <w:rStyle w:val="Hyperlink"/>
            <w:rFonts w:ascii="Arial" w:hAnsi="Arial" w:cs="Arial"/>
            <w:sz w:val="24"/>
            <w:szCs w:val="24"/>
          </w:rPr>
          <w:t>www.gov.uk</w:t>
        </w:r>
      </w:hyperlink>
      <w:r w:rsidRPr="003D2B87">
        <w:rPr>
          <w:rFonts w:ascii="Arial" w:hAnsi="Arial" w:cs="Arial"/>
          <w:sz w:val="24"/>
          <w:szCs w:val="24"/>
        </w:rPr>
        <w:t xml:space="preserve"> website on </w:t>
      </w:r>
      <w:r w:rsidR="00442044" w:rsidRPr="003D2B87">
        <w:rPr>
          <w:rFonts w:ascii="Arial" w:hAnsi="Arial" w:cs="Arial"/>
          <w:sz w:val="24"/>
          <w:szCs w:val="24"/>
        </w:rPr>
        <w:t>11 October 2019</w:t>
      </w:r>
      <w:r w:rsidRPr="003D2B87">
        <w:rPr>
          <w:rFonts w:ascii="Arial" w:hAnsi="Arial" w:cs="Arial"/>
          <w:sz w:val="24"/>
          <w:szCs w:val="24"/>
        </w:rPr>
        <w:t>.</w:t>
      </w:r>
      <w:r w:rsidR="00681AD9" w:rsidRPr="003D2B87">
        <w:rPr>
          <w:rFonts w:ascii="Arial" w:hAnsi="Arial" w:cs="Arial"/>
          <w:sz w:val="24"/>
          <w:szCs w:val="24"/>
        </w:rPr>
        <w:t xml:space="preserve">  </w:t>
      </w:r>
      <w:r w:rsidR="007A4A76" w:rsidRPr="003D2B87">
        <w:rPr>
          <w:rFonts w:ascii="Arial" w:hAnsi="Arial" w:cs="Arial"/>
          <w:sz w:val="24"/>
          <w:szCs w:val="24"/>
        </w:rPr>
        <w:t xml:space="preserve">This followed </w:t>
      </w:r>
      <w:r w:rsidR="00C34DFD" w:rsidRPr="003D2B87">
        <w:rPr>
          <w:rFonts w:ascii="Arial" w:hAnsi="Arial" w:cs="Arial"/>
          <w:sz w:val="24"/>
          <w:szCs w:val="24"/>
        </w:rPr>
        <w:t>the Education Secretary’s one</w:t>
      </w:r>
      <w:r w:rsidR="00266BBE" w:rsidRPr="003D2B87">
        <w:rPr>
          <w:rFonts w:ascii="Arial" w:hAnsi="Arial" w:cs="Arial"/>
          <w:sz w:val="24"/>
          <w:szCs w:val="24"/>
        </w:rPr>
        <w:t>-</w:t>
      </w:r>
      <w:r w:rsidR="00C34DFD" w:rsidRPr="003D2B87">
        <w:rPr>
          <w:rFonts w:ascii="Arial" w:hAnsi="Arial" w:cs="Arial"/>
          <w:sz w:val="24"/>
          <w:szCs w:val="24"/>
        </w:rPr>
        <w:t>year spending review in September 2019, announcing a cash increase compared to 2019/20 of £2.6bn to core schools funding in 2020</w:t>
      </w:r>
      <w:r w:rsidR="00681AD9" w:rsidRPr="003D2B87">
        <w:rPr>
          <w:rFonts w:ascii="Arial" w:hAnsi="Arial" w:cs="Arial"/>
          <w:sz w:val="24"/>
          <w:szCs w:val="24"/>
        </w:rPr>
        <w:t>/</w:t>
      </w:r>
      <w:r w:rsidR="00C34DFD" w:rsidRPr="003D2B87">
        <w:rPr>
          <w:rFonts w:ascii="Arial" w:hAnsi="Arial" w:cs="Arial"/>
          <w:sz w:val="24"/>
          <w:szCs w:val="24"/>
        </w:rPr>
        <w:t>21, with</w:t>
      </w:r>
      <w:r w:rsidR="002E209A" w:rsidRPr="003D2B87">
        <w:rPr>
          <w:rFonts w:ascii="Arial" w:hAnsi="Arial" w:cs="Arial"/>
          <w:sz w:val="24"/>
          <w:szCs w:val="24"/>
        </w:rPr>
        <w:t xml:space="preserve"> an </w:t>
      </w:r>
      <w:r w:rsidR="00C34DFD" w:rsidRPr="003D2B87">
        <w:rPr>
          <w:rFonts w:ascii="Arial" w:hAnsi="Arial" w:cs="Arial"/>
          <w:sz w:val="24"/>
          <w:szCs w:val="24"/>
        </w:rPr>
        <w:t>increase of £4.8bn and £7.1bn in 2021</w:t>
      </w:r>
      <w:r w:rsidR="00681AD9" w:rsidRPr="003D2B87">
        <w:rPr>
          <w:rFonts w:ascii="Arial" w:hAnsi="Arial" w:cs="Arial"/>
          <w:sz w:val="24"/>
          <w:szCs w:val="24"/>
        </w:rPr>
        <w:t>/</w:t>
      </w:r>
      <w:r w:rsidR="00C34DFD" w:rsidRPr="003D2B87">
        <w:rPr>
          <w:rFonts w:ascii="Arial" w:hAnsi="Arial" w:cs="Arial"/>
          <w:sz w:val="24"/>
          <w:szCs w:val="24"/>
        </w:rPr>
        <w:t>22 and 2022</w:t>
      </w:r>
      <w:r w:rsidR="00681AD9" w:rsidRPr="003D2B87">
        <w:rPr>
          <w:rFonts w:ascii="Arial" w:hAnsi="Arial" w:cs="Arial"/>
          <w:sz w:val="24"/>
          <w:szCs w:val="24"/>
        </w:rPr>
        <w:t>/</w:t>
      </w:r>
      <w:r w:rsidR="00C34DFD" w:rsidRPr="003D2B87">
        <w:rPr>
          <w:rFonts w:ascii="Arial" w:hAnsi="Arial" w:cs="Arial"/>
          <w:sz w:val="24"/>
          <w:szCs w:val="24"/>
        </w:rPr>
        <w:t>23 respectively.</w:t>
      </w:r>
    </w:p>
    <w:p w14:paraId="17EDEE62" w14:textId="77777777" w:rsidR="00DD15F0" w:rsidRPr="003D2B87" w:rsidRDefault="00DD15F0" w:rsidP="00AA4070">
      <w:pPr>
        <w:rPr>
          <w:rFonts w:ascii="Arial" w:hAnsi="Arial" w:cs="Arial"/>
          <w:sz w:val="24"/>
          <w:szCs w:val="24"/>
        </w:rPr>
      </w:pPr>
      <w:r w:rsidRPr="003D2B87">
        <w:rPr>
          <w:rFonts w:ascii="Arial" w:hAnsi="Arial" w:cs="Arial"/>
          <w:sz w:val="24"/>
          <w:szCs w:val="24"/>
        </w:rPr>
        <w:t>The Government have promised almost £1.5bn per year to cover increased pension costs.</w:t>
      </w:r>
    </w:p>
    <w:p w14:paraId="1DDEDB8D" w14:textId="77777777" w:rsidR="007C2B3C" w:rsidRPr="003D2B87" w:rsidRDefault="007C2B3C" w:rsidP="00AA4070">
      <w:pPr>
        <w:rPr>
          <w:rFonts w:ascii="Arial" w:hAnsi="Arial" w:cs="Arial"/>
          <w:sz w:val="24"/>
          <w:szCs w:val="24"/>
        </w:rPr>
      </w:pPr>
      <w:r w:rsidRPr="003D2B87">
        <w:rPr>
          <w:rFonts w:ascii="Arial" w:hAnsi="Arial" w:cs="Arial"/>
          <w:sz w:val="24"/>
          <w:szCs w:val="24"/>
        </w:rPr>
        <w:t xml:space="preserve">The new funding arrangements have increased Norfolk’s Dedicated Schools Grant </w:t>
      </w:r>
      <w:r w:rsidR="00F83FA5">
        <w:rPr>
          <w:rFonts w:ascii="Arial" w:hAnsi="Arial" w:cs="Arial"/>
          <w:sz w:val="24"/>
          <w:szCs w:val="24"/>
        </w:rPr>
        <w:t xml:space="preserve">(DSG) </w:t>
      </w:r>
      <w:r w:rsidR="00C63109" w:rsidRPr="003D2B87">
        <w:rPr>
          <w:rFonts w:ascii="Arial" w:hAnsi="Arial" w:cs="Arial"/>
          <w:sz w:val="24"/>
          <w:szCs w:val="24"/>
        </w:rPr>
        <w:t xml:space="preserve">indicative </w:t>
      </w:r>
      <w:r w:rsidRPr="003D2B87">
        <w:rPr>
          <w:rFonts w:ascii="Arial" w:hAnsi="Arial" w:cs="Arial"/>
          <w:sz w:val="24"/>
          <w:szCs w:val="24"/>
        </w:rPr>
        <w:t>allocation by £2</w:t>
      </w:r>
      <w:r w:rsidR="00EE7318" w:rsidRPr="003D2B87">
        <w:rPr>
          <w:rFonts w:ascii="Arial" w:hAnsi="Arial" w:cs="Arial"/>
          <w:sz w:val="24"/>
          <w:szCs w:val="24"/>
        </w:rPr>
        <w:t>7.8</w:t>
      </w:r>
      <w:r w:rsidRPr="003D2B87">
        <w:rPr>
          <w:rFonts w:ascii="Arial" w:hAnsi="Arial" w:cs="Arial"/>
          <w:sz w:val="24"/>
          <w:szCs w:val="24"/>
        </w:rPr>
        <w:t>m.</w:t>
      </w:r>
    </w:p>
    <w:p w14:paraId="099981AC" w14:textId="77777777" w:rsidR="00AA4070" w:rsidRPr="003D2B87" w:rsidRDefault="00AA4070" w:rsidP="00AA4070">
      <w:pPr>
        <w:rPr>
          <w:rFonts w:ascii="Arial" w:hAnsi="Arial" w:cs="Arial"/>
          <w:sz w:val="24"/>
          <w:szCs w:val="24"/>
        </w:rPr>
      </w:pPr>
      <w:r w:rsidRPr="003D2B87">
        <w:rPr>
          <w:rFonts w:ascii="Arial" w:hAnsi="Arial" w:cs="Arial"/>
          <w:sz w:val="24"/>
          <w:szCs w:val="24"/>
        </w:rPr>
        <w:t>Norfolk’s latest indicative Schools Block DSG allocation for 20</w:t>
      </w:r>
      <w:r w:rsidR="00004015" w:rsidRPr="003D2B87">
        <w:rPr>
          <w:rFonts w:ascii="Arial" w:hAnsi="Arial" w:cs="Arial"/>
          <w:sz w:val="24"/>
          <w:szCs w:val="24"/>
        </w:rPr>
        <w:t>20</w:t>
      </w:r>
      <w:r w:rsidRPr="003D2B87">
        <w:rPr>
          <w:rFonts w:ascii="Arial" w:hAnsi="Arial" w:cs="Arial"/>
          <w:sz w:val="24"/>
          <w:szCs w:val="24"/>
        </w:rPr>
        <w:t>/2</w:t>
      </w:r>
      <w:r w:rsidR="00004015" w:rsidRPr="003D2B87">
        <w:rPr>
          <w:rFonts w:ascii="Arial" w:hAnsi="Arial" w:cs="Arial"/>
          <w:sz w:val="24"/>
          <w:szCs w:val="24"/>
        </w:rPr>
        <w:t>1</w:t>
      </w:r>
      <w:r w:rsidRPr="003D2B87">
        <w:rPr>
          <w:rFonts w:ascii="Arial" w:hAnsi="Arial" w:cs="Arial"/>
          <w:sz w:val="24"/>
          <w:szCs w:val="24"/>
        </w:rPr>
        <w:t xml:space="preserve"> is £</w:t>
      </w:r>
      <w:r w:rsidR="002C3DD9" w:rsidRPr="003D2B87">
        <w:rPr>
          <w:rFonts w:ascii="Arial" w:hAnsi="Arial" w:cs="Arial"/>
          <w:sz w:val="24"/>
          <w:szCs w:val="24"/>
        </w:rPr>
        <w:t>496.195</w:t>
      </w:r>
      <w:r w:rsidRPr="003D2B87">
        <w:rPr>
          <w:rFonts w:ascii="Arial" w:hAnsi="Arial" w:cs="Arial"/>
          <w:sz w:val="24"/>
          <w:szCs w:val="24"/>
        </w:rPr>
        <w:t>m</w:t>
      </w:r>
      <w:r w:rsidR="002C3DD9" w:rsidRPr="003D2B87">
        <w:rPr>
          <w:rFonts w:ascii="Arial" w:hAnsi="Arial" w:cs="Arial"/>
          <w:sz w:val="24"/>
          <w:szCs w:val="24"/>
        </w:rPr>
        <w:t xml:space="preserve"> (excluding growth)</w:t>
      </w:r>
      <w:r w:rsidRPr="003D2B87">
        <w:rPr>
          <w:rFonts w:ascii="Arial" w:hAnsi="Arial" w:cs="Arial"/>
          <w:sz w:val="24"/>
          <w:szCs w:val="24"/>
        </w:rPr>
        <w:t>, compared to £47</w:t>
      </w:r>
      <w:r w:rsidR="003E7B8C" w:rsidRPr="003D2B87">
        <w:rPr>
          <w:rFonts w:ascii="Arial" w:hAnsi="Arial" w:cs="Arial"/>
          <w:sz w:val="24"/>
          <w:szCs w:val="24"/>
        </w:rPr>
        <w:t>8.609</w:t>
      </w:r>
      <w:r w:rsidRPr="003D2B87">
        <w:rPr>
          <w:rFonts w:ascii="Arial" w:hAnsi="Arial" w:cs="Arial"/>
          <w:sz w:val="24"/>
          <w:szCs w:val="24"/>
        </w:rPr>
        <w:t>m received in 201</w:t>
      </w:r>
      <w:r w:rsidR="00004015" w:rsidRPr="003D2B87">
        <w:rPr>
          <w:rFonts w:ascii="Arial" w:hAnsi="Arial" w:cs="Arial"/>
          <w:sz w:val="24"/>
          <w:szCs w:val="24"/>
        </w:rPr>
        <w:t>9</w:t>
      </w:r>
      <w:r w:rsidRPr="003D2B87">
        <w:rPr>
          <w:rFonts w:ascii="Arial" w:hAnsi="Arial" w:cs="Arial"/>
          <w:sz w:val="24"/>
          <w:szCs w:val="24"/>
        </w:rPr>
        <w:t>/</w:t>
      </w:r>
      <w:r w:rsidR="00004015" w:rsidRPr="003D2B87">
        <w:rPr>
          <w:rFonts w:ascii="Arial" w:hAnsi="Arial" w:cs="Arial"/>
          <w:sz w:val="24"/>
          <w:szCs w:val="24"/>
        </w:rPr>
        <w:t>20</w:t>
      </w:r>
      <w:r w:rsidR="002C3DD9" w:rsidRPr="003D2B87">
        <w:rPr>
          <w:rFonts w:ascii="Arial" w:hAnsi="Arial" w:cs="Arial"/>
          <w:sz w:val="24"/>
          <w:szCs w:val="24"/>
        </w:rPr>
        <w:t xml:space="preserve"> (excluding growth)</w:t>
      </w:r>
      <w:r w:rsidRPr="003D2B87">
        <w:rPr>
          <w:rFonts w:ascii="Arial" w:hAnsi="Arial" w:cs="Arial"/>
          <w:sz w:val="24"/>
          <w:szCs w:val="24"/>
        </w:rPr>
        <w:t>.  An increase of £</w:t>
      </w:r>
      <w:r w:rsidR="002C3DD9" w:rsidRPr="003D2B87">
        <w:rPr>
          <w:rFonts w:ascii="Arial" w:hAnsi="Arial" w:cs="Arial"/>
          <w:sz w:val="24"/>
          <w:szCs w:val="24"/>
        </w:rPr>
        <w:t>1</w:t>
      </w:r>
      <w:r w:rsidR="003E7B8C" w:rsidRPr="003D2B87">
        <w:rPr>
          <w:rFonts w:ascii="Arial" w:hAnsi="Arial" w:cs="Arial"/>
          <w:sz w:val="24"/>
          <w:szCs w:val="24"/>
        </w:rPr>
        <w:t>7.6</w:t>
      </w:r>
      <w:r w:rsidR="002C3DD9" w:rsidRPr="003D2B87">
        <w:rPr>
          <w:rFonts w:ascii="Arial" w:hAnsi="Arial" w:cs="Arial"/>
          <w:sz w:val="24"/>
          <w:szCs w:val="24"/>
        </w:rPr>
        <w:t>m</w:t>
      </w:r>
      <w:r w:rsidR="007C2B3C" w:rsidRPr="003D2B87">
        <w:rPr>
          <w:rFonts w:ascii="Arial" w:hAnsi="Arial" w:cs="Arial"/>
          <w:sz w:val="24"/>
          <w:szCs w:val="24"/>
        </w:rPr>
        <w:t xml:space="preserve">. </w:t>
      </w:r>
    </w:p>
    <w:p w14:paraId="611067F8" w14:textId="77777777" w:rsidR="007A4A76" w:rsidRPr="003D2B87" w:rsidRDefault="007A4A76" w:rsidP="00AA4070">
      <w:pPr>
        <w:rPr>
          <w:rFonts w:ascii="Arial" w:hAnsi="Arial" w:cs="Arial"/>
          <w:sz w:val="24"/>
          <w:szCs w:val="24"/>
        </w:rPr>
      </w:pPr>
      <w:r w:rsidRPr="003D2B87">
        <w:rPr>
          <w:rFonts w:ascii="Arial" w:hAnsi="Arial" w:cs="Arial"/>
          <w:sz w:val="24"/>
          <w:szCs w:val="24"/>
        </w:rPr>
        <w:t xml:space="preserve">The DfE announcement on the 11th October indicates that Norfolk’s High Needs Block (HNB) will increase by approximately £10.2m for 2020/21.  </w:t>
      </w:r>
      <w:bookmarkStart w:id="1" w:name="_Hlk24352938"/>
      <w:r w:rsidRPr="003D2B87">
        <w:rPr>
          <w:rFonts w:ascii="Arial" w:hAnsi="Arial" w:cs="Arial"/>
          <w:sz w:val="24"/>
          <w:szCs w:val="24"/>
        </w:rPr>
        <w:t>This increase has only been confirmed for 2020/21 at this time, leaving uncertainty regarding the base level of HNB for future years.  This increase alone will not immediately resolve the ongoing High Needs Block overspend pressure due to the level of cumulative deficit, the anticipated ongoing commitments, and the uncertainty regarding future year’s HNB base funding</w:t>
      </w:r>
      <w:r w:rsidR="002268CA" w:rsidRPr="003D2B87">
        <w:rPr>
          <w:rFonts w:ascii="Arial" w:hAnsi="Arial" w:cs="Arial"/>
          <w:sz w:val="24"/>
          <w:szCs w:val="24"/>
        </w:rPr>
        <w:t>.</w:t>
      </w:r>
    </w:p>
    <w:bookmarkEnd w:id="1"/>
    <w:p w14:paraId="4D716FAE" w14:textId="77777777" w:rsidR="00FC0DAC" w:rsidRPr="003D2B87" w:rsidRDefault="00FC0DAC" w:rsidP="00AA4070">
      <w:pPr>
        <w:rPr>
          <w:rFonts w:ascii="Arial" w:hAnsi="Arial" w:cs="Arial"/>
          <w:sz w:val="24"/>
          <w:szCs w:val="24"/>
        </w:rPr>
      </w:pPr>
      <w:r w:rsidRPr="003D2B87">
        <w:rPr>
          <w:rFonts w:ascii="Arial" w:hAnsi="Arial" w:cs="Arial"/>
          <w:sz w:val="24"/>
          <w:szCs w:val="24"/>
        </w:rPr>
        <w:lastRenderedPageBreak/>
        <w:t>On the 11</w:t>
      </w:r>
      <w:r w:rsidRPr="003D2B87">
        <w:rPr>
          <w:rFonts w:ascii="Arial" w:hAnsi="Arial" w:cs="Arial"/>
          <w:sz w:val="24"/>
          <w:szCs w:val="24"/>
          <w:vertAlign w:val="superscript"/>
        </w:rPr>
        <w:t>th</w:t>
      </w:r>
      <w:r w:rsidRPr="003D2B87">
        <w:rPr>
          <w:rFonts w:ascii="Arial" w:hAnsi="Arial" w:cs="Arial"/>
          <w:sz w:val="24"/>
          <w:szCs w:val="24"/>
        </w:rPr>
        <w:t xml:space="preserve"> October, as well as issuing the National Funding Formula tables for schools and high needs for 2020/21, the Department of Education (DfE) also issued a Consultation on revised arrangements for the DSG.</w:t>
      </w:r>
    </w:p>
    <w:p w14:paraId="13D65735" w14:textId="77777777" w:rsidR="00FC0DAC" w:rsidRPr="003D2B87" w:rsidRDefault="00FC0DAC" w:rsidP="00AA4070">
      <w:pPr>
        <w:rPr>
          <w:rFonts w:ascii="Arial" w:hAnsi="Arial" w:cs="Arial"/>
          <w:sz w:val="24"/>
          <w:szCs w:val="24"/>
        </w:rPr>
      </w:pPr>
      <w:r w:rsidRPr="003D2B87">
        <w:rPr>
          <w:rFonts w:ascii="Arial" w:hAnsi="Arial" w:cs="Arial"/>
          <w:sz w:val="24"/>
          <w:szCs w:val="24"/>
        </w:rPr>
        <w:t>The DFE is consulting on changing the conditions of grant and regulations applying to the Dedicated Schools Grant (DSG), to clarify that the DSG is a ring-fenced specific grant separate from the general funding of local authorities.</w:t>
      </w:r>
    </w:p>
    <w:p w14:paraId="20DC3C6F" w14:textId="77777777" w:rsidR="003221AC" w:rsidRPr="003D2B87" w:rsidRDefault="003221AC" w:rsidP="00AA4070">
      <w:pPr>
        <w:rPr>
          <w:rFonts w:ascii="Arial" w:hAnsi="Arial" w:cs="Arial"/>
          <w:sz w:val="24"/>
          <w:szCs w:val="24"/>
        </w:rPr>
      </w:pPr>
      <w:r w:rsidRPr="003D2B87">
        <w:rPr>
          <w:rFonts w:ascii="Arial" w:hAnsi="Arial" w:cs="Arial"/>
          <w:sz w:val="24"/>
          <w:szCs w:val="24"/>
        </w:rPr>
        <w:t>It also clarifies that any deficit an authority may have on its DSG account is expected to be carried forward and is not required to be covered by the authority’s general reserves.</w:t>
      </w:r>
    </w:p>
    <w:p w14:paraId="3C07404C" w14:textId="77777777" w:rsidR="00AA4070" w:rsidRPr="003D2B87" w:rsidRDefault="00004015" w:rsidP="00AA4070">
      <w:pPr>
        <w:rPr>
          <w:rFonts w:ascii="Arial" w:hAnsi="Arial" w:cs="Arial"/>
          <w:sz w:val="24"/>
          <w:szCs w:val="24"/>
        </w:rPr>
      </w:pPr>
      <w:r w:rsidRPr="003D2B87">
        <w:rPr>
          <w:rFonts w:ascii="Arial" w:hAnsi="Arial" w:cs="Arial"/>
          <w:sz w:val="24"/>
          <w:szCs w:val="24"/>
        </w:rPr>
        <w:t xml:space="preserve">Norfolk proposes to continue moving schools towards </w:t>
      </w:r>
      <w:r w:rsidR="00AA4070" w:rsidRPr="003D2B87">
        <w:rPr>
          <w:rFonts w:ascii="Arial" w:hAnsi="Arial" w:cs="Arial"/>
          <w:sz w:val="24"/>
          <w:szCs w:val="24"/>
        </w:rPr>
        <w:t>full</w:t>
      </w:r>
      <w:r w:rsidRPr="003D2B87">
        <w:rPr>
          <w:rFonts w:ascii="Arial" w:hAnsi="Arial" w:cs="Arial"/>
          <w:sz w:val="24"/>
          <w:szCs w:val="24"/>
        </w:rPr>
        <w:t xml:space="preserve"> implementation of</w:t>
      </w:r>
      <w:r w:rsidR="00AA4070" w:rsidRPr="003D2B87">
        <w:rPr>
          <w:rFonts w:ascii="Arial" w:hAnsi="Arial" w:cs="Arial"/>
          <w:sz w:val="24"/>
          <w:szCs w:val="24"/>
        </w:rPr>
        <w:t xml:space="preserve"> the DfE’s National Funding Formula</w:t>
      </w:r>
      <w:r w:rsidR="007C403C" w:rsidRPr="003D2B87">
        <w:rPr>
          <w:rFonts w:ascii="Arial" w:hAnsi="Arial" w:cs="Arial"/>
          <w:sz w:val="24"/>
          <w:szCs w:val="24"/>
        </w:rPr>
        <w:t xml:space="preserve"> unit values</w:t>
      </w:r>
      <w:r w:rsidRPr="003D2B87">
        <w:rPr>
          <w:rFonts w:ascii="Arial" w:hAnsi="Arial" w:cs="Arial"/>
          <w:sz w:val="24"/>
          <w:szCs w:val="24"/>
        </w:rPr>
        <w:t xml:space="preserve">, using a Minimum Funding Guarantee and Cap </w:t>
      </w:r>
      <w:r w:rsidR="007C2B3C" w:rsidRPr="003D2B87">
        <w:rPr>
          <w:rFonts w:ascii="Arial" w:hAnsi="Arial" w:cs="Arial"/>
          <w:sz w:val="24"/>
          <w:szCs w:val="24"/>
        </w:rPr>
        <w:t>for</w:t>
      </w:r>
      <w:r w:rsidRPr="003D2B87">
        <w:rPr>
          <w:rFonts w:ascii="Arial" w:hAnsi="Arial" w:cs="Arial"/>
          <w:sz w:val="24"/>
          <w:szCs w:val="24"/>
        </w:rPr>
        <w:t xml:space="preserve"> those schools that </w:t>
      </w:r>
      <w:r w:rsidR="007C2B3C" w:rsidRPr="003D2B87">
        <w:rPr>
          <w:rFonts w:ascii="Arial" w:hAnsi="Arial" w:cs="Arial"/>
          <w:sz w:val="24"/>
          <w:szCs w:val="24"/>
        </w:rPr>
        <w:t>w</w:t>
      </w:r>
      <w:r w:rsidR="000853FC" w:rsidRPr="003D2B87">
        <w:rPr>
          <w:rFonts w:ascii="Arial" w:hAnsi="Arial" w:cs="Arial"/>
          <w:sz w:val="24"/>
          <w:szCs w:val="24"/>
        </w:rPr>
        <w:t xml:space="preserve">ould be </w:t>
      </w:r>
      <w:r w:rsidR="007C2B3C" w:rsidRPr="003D2B87">
        <w:rPr>
          <w:rFonts w:ascii="Arial" w:hAnsi="Arial" w:cs="Arial"/>
          <w:sz w:val="24"/>
          <w:szCs w:val="24"/>
        </w:rPr>
        <w:t xml:space="preserve">funded at a higher level under the local formula than they would be </w:t>
      </w:r>
      <w:r w:rsidRPr="003D2B87">
        <w:rPr>
          <w:rFonts w:ascii="Arial" w:hAnsi="Arial" w:cs="Arial"/>
          <w:sz w:val="24"/>
          <w:szCs w:val="24"/>
        </w:rPr>
        <w:t>under the NF</w:t>
      </w:r>
      <w:r w:rsidR="000853FC" w:rsidRPr="003D2B87">
        <w:rPr>
          <w:rFonts w:ascii="Arial" w:hAnsi="Arial" w:cs="Arial"/>
          <w:sz w:val="24"/>
          <w:szCs w:val="24"/>
        </w:rPr>
        <w:t>F.</w:t>
      </w:r>
    </w:p>
    <w:p w14:paraId="7D3A7281" w14:textId="3957E3DA" w:rsidR="00AA4070" w:rsidRPr="003D2B87" w:rsidRDefault="00704BF6" w:rsidP="00AA4070">
      <w:pPr>
        <w:rPr>
          <w:rFonts w:ascii="Arial" w:hAnsi="Arial" w:cs="Arial"/>
          <w:sz w:val="24"/>
          <w:szCs w:val="24"/>
        </w:rPr>
      </w:pPr>
      <w:r w:rsidRPr="00131DCD">
        <w:rPr>
          <w:rFonts w:ascii="Arial" w:hAnsi="Arial" w:cs="Arial"/>
          <w:sz w:val="24"/>
          <w:szCs w:val="24"/>
        </w:rPr>
        <w:t xml:space="preserve">The Local Authority is </w:t>
      </w:r>
      <w:r w:rsidR="00AA4070" w:rsidRPr="00131DCD">
        <w:rPr>
          <w:rFonts w:ascii="Arial" w:hAnsi="Arial" w:cs="Arial"/>
          <w:sz w:val="24"/>
          <w:szCs w:val="24"/>
        </w:rPr>
        <w:t xml:space="preserve">also seeking support </w:t>
      </w:r>
      <w:r w:rsidRPr="00131DCD">
        <w:rPr>
          <w:rFonts w:ascii="Arial" w:hAnsi="Arial" w:cs="Arial"/>
          <w:sz w:val="24"/>
          <w:szCs w:val="24"/>
        </w:rPr>
        <w:t xml:space="preserve">from Schools Forum </w:t>
      </w:r>
      <w:r w:rsidR="00004015" w:rsidRPr="00131DCD">
        <w:rPr>
          <w:rFonts w:ascii="Arial" w:hAnsi="Arial" w:cs="Arial"/>
          <w:sz w:val="24"/>
          <w:szCs w:val="24"/>
        </w:rPr>
        <w:t xml:space="preserve">for the ongoing </w:t>
      </w:r>
      <w:r w:rsidR="00AA4070" w:rsidRPr="00131DCD">
        <w:rPr>
          <w:rFonts w:ascii="Arial" w:hAnsi="Arial" w:cs="Arial"/>
          <w:sz w:val="24"/>
          <w:szCs w:val="24"/>
        </w:rPr>
        <w:t>transfer of funding from the Schools Block to the High Needs Block</w:t>
      </w:r>
      <w:r w:rsidR="00004015" w:rsidRPr="00131DCD">
        <w:rPr>
          <w:rFonts w:ascii="Arial" w:hAnsi="Arial" w:cs="Arial"/>
          <w:sz w:val="24"/>
          <w:szCs w:val="24"/>
        </w:rPr>
        <w:t xml:space="preserve"> </w:t>
      </w:r>
      <w:r w:rsidR="00AA4070" w:rsidRPr="00131DCD">
        <w:rPr>
          <w:rFonts w:ascii="Arial" w:hAnsi="Arial" w:cs="Arial"/>
          <w:sz w:val="24"/>
          <w:szCs w:val="24"/>
        </w:rPr>
        <w:t>in 20</w:t>
      </w:r>
      <w:r w:rsidR="00004015" w:rsidRPr="00131DCD">
        <w:rPr>
          <w:rFonts w:ascii="Arial" w:hAnsi="Arial" w:cs="Arial"/>
          <w:sz w:val="24"/>
          <w:szCs w:val="24"/>
        </w:rPr>
        <w:t>20</w:t>
      </w:r>
      <w:r w:rsidR="00AA4070" w:rsidRPr="00131DCD">
        <w:rPr>
          <w:rFonts w:ascii="Arial" w:hAnsi="Arial" w:cs="Arial"/>
          <w:sz w:val="24"/>
          <w:szCs w:val="24"/>
        </w:rPr>
        <w:t>/2</w:t>
      </w:r>
      <w:r w:rsidR="00004015" w:rsidRPr="00131DCD">
        <w:rPr>
          <w:rFonts w:ascii="Arial" w:hAnsi="Arial" w:cs="Arial"/>
          <w:sz w:val="24"/>
          <w:szCs w:val="24"/>
        </w:rPr>
        <w:t>1</w:t>
      </w:r>
      <w:r w:rsidR="00AA4070" w:rsidRPr="00131DCD">
        <w:rPr>
          <w:rFonts w:ascii="Arial" w:hAnsi="Arial" w:cs="Arial"/>
          <w:sz w:val="24"/>
          <w:szCs w:val="24"/>
        </w:rPr>
        <w:t xml:space="preserve"> to meet the ongoing </w:t>
      </w:r>
      <w:r w:rsidR="00004015" w:rsidRPr="00131DCD">
        <w:rPr>
          <w:rFonts w:ascii="Arial" w:hAnsi="Arial" w:cs="Arial"/>
          <w:sz w:val="24"/>
          <w:szCs w:val="24"/>
        </w:rPr>
        <w:t>pressures of the High Needs Block.</w:t>
      </w:r>
    </w:p>
    <w:p w14:paraId="4647C955" w14:textId="77777777" w:rsidR="005C3488" w:rsidRPr="003D2B87" w:rsidRDefault="005C3488" w:rsidP="005C3488">
      <w:pPr>
        <w:rPr>
          <w:rFonts w:ascii="Arial" w:hAnsi="Arial" w:cs="Arial"/>
          <w:b/>
          <w:sz w:val="24"/>
          <w:szCs w:val="24"/>
          <w:u w:val="single"/>
        </w:rPr>
      </w:pPr>
    </w:p>
    <w:p w14:paraId="4B038F21" w14:textId="77777777" w:rsidR="005C3488" w:rsidRPr="003D2B87" w:rsidRDefault="005C3488" w:rsidP="005C3488">
      <w:pPr>
        <w:rPr>
          <w:rFonts w:ascii="Arial" w:hAnsi="Arial" w:cs="Arial"/>
          <w:b/>
          <w:sz w:val="24"/>
          <w:szCs w:val="24"/>
          <w:u w:val="single"/>
        </w:rPr>
      </w:pPr>
      <w:r w:rsidRPr="003D2B87">
        <w:rPr>
          <w:rFonts w:ascii="Arial" w:hAnsi="Arial" w:cs="Arial"/>
          <w:b/>
          <w:sz w:val="24"/>
          <w:szCs w:val="24"/>
          <w:u w:val="single"/>
        </w:rPr>
        <w:t>Summary of NFF Changes in 2020/21</w:t>
      </w:r>
    </w:p>
    <w:p w14:paraId="6296C93E" w14:textId="77777777" w:rsidR="005C3488" w:rsidRPr="003D2B87" w:rsidRDefault="005C3488" w:rsidP="00AA4070">
      <w:pPr>
        <w:rPr>
          <w:rFonts w:ascii="Arial" w:hAnsi="Arial" w:cs="Arial"/>
          <w:sz w:val="24"/>
          <w:szCs w:val="24"/>
        </w:rPr>
      </w:pPr>
    </w:p>
    <w:p w14:paraId="4DB32AB6" w14:textId="77777777" w:rsidR="00AA4070" w:rsidRPr="003D2B87" w:rsidRDefault="00AA4070" w:rsidP="00AA4070">
      <w:pPr>
        <w:rPr>
          <w:rFonts w:ascii="Arial" w:hAnsi="Arial" w:cs="Arial"/>
          <w:b/>
          <w:sz w:val="24"/>
          <w:szCs w:val="24"/>
          <w:u w:val="single"/>
        </w:rPr>
      </w:pPr>
      <w:r w:rsidRPr="003D2B87">
        <w:rPr>
          <w:rFonts w:ascii="Arial" w:hAnsi="Arial" w:cs="Arial"/>
          <w:sz w:val="24"/>
          <w:szCs w:val="24"/>
        </w:rPr>
        <w:t>The illustration below shows the factors within the National Funding Formula</w:t>
      </w:r>
      <w:r w:rsidR="00D12A4A" w:rsidRPr="003D2B87">
        <w:rPr>
          <w:rFonts w:ascii="Arial" w:hAnsi="Arial" w:cs="Arial"/>
          <w:sz w:val="24"/>
          <w:szCs w:val="24"/>
        </w:rPr>
        <w:t>.</w:t>
      </w:r>
    </w:p>
    <w:p w14:paraId="6D7A6420" w14:textId="77777777" w:rsidR="00AA4070" w:rsidRPr="003D2B87" w:rsidRDefault="00AA4070" w:rsidP="00AA4070">
      <w:pPr>
        <w:rPr>
          <w:rFonts w:ascii="Arial" w:hAnsi="Arial" w:cs="Arial"/>
          <w:b/>
          <w:sz w:val="24"/>
          <w:szCs w:val="24"/>
          <w:u w:val="single"/>
        </w:rPr>
      </w:pPr>
      <w:r w:rsidRPr="003D2B87">
        <w:rPr>
          <w:rFonts w:ascii="Arial" w:hAnsi="Arial" w:cs="Arial"/>
          <w:noProof/>
          <w:lang w:eastAsia="en-GB"/>
        </w:rPr>
        <w:drawing>
          <wp:inline distT="0" distB="0" distL="0" distR="0" wp14:anchorId="301B3CE9" wp14:editId="1FFC8AA4">
            <wp:extent cx="5731510" cy="2540101"/>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540101"/>
                    </a:xfrm>
                    <a:prstGeom prst="rect">
                      <a:avLst/>
                    </a:prstGeom>
                    <a:noFill/>
                    <a:ln>
                      <a:noFill/>
                    </a:ln>
                  </pic:spPr>
                </pic:pic>
              </a:graphicData>
            </a:graphic>
          </wp:inline>
        </w:drawing>
      </w:r>
    </w:p>
    <w:p w14:paraId="0B6021EE" w14:textId="77777777" w:rsidR="009A46D8" w:rsidRPr="003D2B87" w:rsidRDefault="009A46D8" w:rsidP="00AA4070">
      <w:pPr>
        <w:rPr>
          <w:rFonts w:ascii="Arial" w:hAnsi="Arial" w:cs="Arial"/>
          <w:sz w:val="24"/>
          <w:szCs w:val="24"/>
        </w:rPr>
      </w:pPr>
    </w:p>
    <w:p w14:paraId="02025625" w14:textId="77777777" w:rsidR="00C63109" w:rsidRPr="003D2B87" w:rsidRDefault="009A46D8" w:rsidP="00AA4070">
      <w:pPr>
        <w:rPr>
          <w:rFonts w:ascii="Arial" w:hAnsi="Arial" w:cs="Arial"/>
          <w:sz w:val="24"/>
          <w:szCs w:val="24"/>
        </w:rPr>
      </w:pPr>
      <w:r w:rsidRPr="003D2B87">
        <w:rPr>
          <w:rFonts w:ascii="Arial" w:hAnsi="Arial" w:cs="Arial"/>
          <w:sz w:val="24"/>
          <w:szCs w:val="24"/>
        </w:rPr>
        <w:t>The table below shows the comparison of 2019/20 NFF funding rates currently used within the Norfolk funding formula and the proposed 2020/21 NFF funding rates for distribution of the additional</w:t>
      </w:r>
      <w:r w:rsidR="005C3488" w:rsidRPr="003D2B87">
        <w:rPr>
          <w:rFonts w:ascii="Arial" w:hAnsi="Arial" w:cs="Arial"/>
          <w:sz w:val="24"/>
          <w:szCs w:val="24"/>
        </w:rPr>
        <w:t xml:space="preserve"> £1</w:t>
      </w:r>
      <w:r w:rsidR="003E7B8C" w:rsidRPr="003D2B87">
        <w:rPr>
          <w:rFonts w:ascii="Arial" w:hAnsi="Arial" w:cs="Arial"/>
          <w:sz w:val="24"/>
          <w:szCs w:val="24"/>
        </w:rPr>
        <w:t>7.6</w:t>
      </w:r>
      <w:r w:rsidR="005C3488" w:rsidRPr="003D2B87">
        <w:rPr>
          <w:rFonts w:ascii="Arial" w:hAnsi="Arial" w:cs="Arial"/>
          <w:sz w:val="24"/>
          <w:szCs w:val="24"/>
        </w:rPr>
        <w:t xml:space="preserve">m </w:t>
      </w:r>
      <w:r w:rsidRPr="003D2B87">
        <w:rPr>
          <w:rFonts w:ascii="Arial" w:hAnsi="Arial" w:cs="Arial"/>
          <w:sz w:val="24"/>
          <w:szCs w:val="24"/>
        </w:rPr>
        <w:t>Schools Block DSG that the Local Authority is expecting to receive.</w:t>
      </w:r>
    </w:p>
    <w:p w14:paraId="2EAF8323" w14:textId="77777777" w:rsidR="009A46D8" w:rsidRPr="003D2B87" w:rsidRDefault="009A46D8" w:rsidP="00AA4070">
      <w:pPr>
        <w:rPr>
          <w:rFonts w:ascii="Arial" w:hAnsi="Arial" w:cs="Arial"/>
          <w:sz w:val="24"/>
          <w:szCs w:val="24"/>
        </w:rPr>
      </w:pPr>
    </w:p>
    <w:tbl>
      <w:tblPr>
        <w:tblStyle w:val="TableGrid"/>
        <w:tblW w:w="0" w:type="auto"/>
        <w:tblLook w:val="04A0" w:firstRow="1" w:lastRow="0" w:firstColumn="1" w:lastColumn="0" w:noHBand="0" w:noVBand="1"/>
      </w:tblPr>
      <w:tblGrid>
        <w:gridCol w:w="2931"/>
        <w:gridCol w:w="2931"/>
        <w:gridCol w:w="2931"/>
      </w:tblGrid>
      <w:tr w:rsidR="00C63109" w:rsidRPr="003D2B87" w14:paraId="5852A79D" w14:textId="77777777" w:rsidTr="0058442B">
        <w:trPr>
          <w:trHeight w:val="250"/>
        </w:trPr>
        <w:tc>
          <w:tcPr>
            <w:tcW w:w="2931" w:type="dxa"/>
          </w:tcPr>
          <w:p w14:paraId="1E46AA50" w14:textId="77777777" w:rsidR="00C63109" w:rsidRPr="003D2B87" w:rsidRDefault="00C63109" w:rsidP="0058442B">
            <w:pPr>
              <w:jc w:val="center"/>
              <w:rPr>
                <w:rFonts w:ascii="Arial" w:hAnsi="Arial" w:cs="Arial"/>
                <w:b/>
              </w:rPr>
            </w:pPr>
            <w:r w:rsidRPr="003D2B87">
              <w:rPr>
                <w:rFonts w:ascii="Arial" w:hAnsi="Arial" w:cs="Arial"/>
                <w:sz w:val="24"/>
                <w:szCs w:val="24"/>
              </w:rPr>
              <w:lastRenderedPageBreak/>
              <w:br w:type="page"/>
            </w:r>
            <w:r w:rsidRPr="003D2B87">
              <w:rPr>
                <w:rFonts w:ascii="Arial" w:hAnsi="Arial" w:cs="Arial"/>
                <w:b/>
              </w:rPr>
              <w:t>Funding Factor</w:t>
            </w:r>
          </w:p>
        </w:tc>
        <w:tc>
          <w:tcPr>
            <w:tcW w:w="2931" w:type="dxa"/>
          </w:tcPr>
          <w:p w14:paraId="18008C51" w14:textId="77777777" w:rsidR="00C63109" w:rsidRPr="003D2B87" w:rsidRDefault="00C63109" w:rsidP="0058442B">
            <w:pPr>
              <w:jc w:val="center"/>
              <w:rPr>
                <w:rFonts w:ascii="Arial" w:hAnsi="Arial" w:cs="Arial"/>
                <w:b/>
              </w:rPr>
            </w:pPr>
            <w:r w:rsidRPr="003D2B87">
              <w:rPr>
                <w:rFonts w:ascii="Arial" w:hAnsi="Arial" w:cs="Arial"/>
                <w:b/>
              </w:rPr>
              <w:t>2019/20 Formula</w:t>
            </w:r>
          </w:p>
        </w:tc>
        <w:tc>
          <w:tcPr>
            <w:tcW w:w="2931" w:type="dxa"/>
          </w:tcPr>
          <w:p w14:paraId="6813BD50" w14:textId="77777777" w:rsidR="00C63109" w:rsidRPr="003D2B87" w:rsidRDefault="00C63109" w:rsidP="0058442B">
            <w:pPr>
              <w:jc w:val="center"/>
              <w:rPr>
                <w:rFonts w:ascii="Arial" w:hAnsi="Arial" w:cs="Arial"/>
                <w:b/>
              </w:rPr>
            </w:pPr>
            <w:r w:rsidRPr="003D2B87">
              <w:rPr>
                <w:rFonts w:ascii="Arial" w:hAnsi="Arial" w:cs="Arial"/>
                <w:b/>
              </w:rPr>
              <w:t>2020/21 Proposed Formula</w:t>
            </w:r>
          </w:p>
        </w:tc>
      </w:tr>
      <w:tr w:rsidR="00C63109" w:rsidRPr="003D2B87" w14:paraId="3E856CBA" w14:textId="77777777" w:rsidTr="0058442B">
        <w:trPr>
          <w:trHeight w:val="250"/>
        </w:trPr>
        <w:tc>
          <w:tcPr>
            <w:tcW w:w="2931" w:type="dxa"/>
          </w:tcPr>
          <w:p w14:paraId="75F50E0B" w14:textId="77777777" w:rsidR="00C63109" w:rsidRPr="003D2B87" w:rsidRDefault="00C63109" w:rsidP="0058442B">
            <w:pPr>
              <w:jc w:val="center"/>
              <w:rPr>
                <w:rFonts w:ascii="Arial" w:hAnsi="Arial" w:cs="Arial"/>
                <w:b/>
              </w:rPr>
            </w:pPr>
          </w:p>
        </w:tc>
        <w:tc>
          <w:tcPr>
            <w:tcW w:w="2931" w:type="dxa"/>
          </w:tcPr>
          <w:p w14:paraId="5528BE4C" w14:textId="77777777" w:rsidR="00C63109" w:rsidRPr="003D2B87" w:rsidRDefault="00C63109" w:rsidP="0058442B">
            <w:pPr>
              <w:jc w:val="center"/>
              <w:rPr>
                <w:rFonts w:ascii="Arial" w:hAnsi="Arial" w:cs="Arial"/>
                <w:b/>
              </w:rPr>
            </w:pPr>
            <w:r w:rsidRPr="003D2B87">
              <w:rPr>
                <w:rFonts w:ascii="Arial" w:hAnsi="Arial" w:cs="Arial"/>
                <w:b/>
              </w:rPr>
              <w:t>(£ NFF unit rates)</w:t>
            </w:r>
          </w:p>
        </w:tc>
        <w:tc>
          <w:tcPr>
            <w:tcW w:w="2931" w:type="dxa"/>
          </w:tcPr>
          <w:p w14:paraId="17193EA8" w14:textId="77777777" w:rsidR="00C63109" w:rsidRPr="003D2B87" w:rsidRDefault="00C63109" w:rsidP="0058442B">
            <w:pPr>
              <w:jc w:val="center"/>
              <w:rPr>
                <w:rFonts w:ascii="Arial" w:hAnsi="Arial" w:cs="Arial"/>
                <w:b/>
              </w:rPr>
            </w:pPr>
            <w:r w:rsidRPr="003D2B87">
              <w:rPr>
                <w:rFonts w:ascii="Arial" w:hAnsi="Arial" w:cs="Arial"/>
                <w:b/>
              </w:rPr>
              <w:t>(£ NFF unit rates)</w:t>
            </w:r>
          </w:p>
        </w:tc>
      </w:tr>
      <w:tr w:rsidR="00C63109" w:rsidRPr="003D2B87" w14:paraId="3EE12075" w14:textId="77777777" w:rsidTr="0058442B">
        <w:trPr>
          <w:trHeight w:val="250"/>
        </w:trPr>
        <w:tc>
          <w:tcPr>
            <w:tcW w:w="2931" w:type="dxa"/>
          </w:tcPr>
          <w:p w14:paraId="1FA8F02B" w14:textId="77777777" w:rsidR="00C63109" w:rsidRPr="003D2B87" w:rsidRDefault="00C63109" w:rsidP="0058442B">
            <w:pPr>
              <w:rPr>
                <w:rFonts w:ascii="Arial" w:hAnsi="Arial" w:cs="Arial"/>
              </w:rPr>
            </w:pPr>
          </w:p>
        </w:tc>
        <w:tc>
          <w:tcPr>
            <w:tcW w:w="2931" w:type="dxa"/>
          </w:tcPr>
          <w:p w14:paraId="2F1257DF" w14:textId="77777777" w:rsidR="00C63109" w:rsidRPr="003D2B87" w:rsidRDefault="00C63109" w:rsidP="0058442B">
            <w:pPr>
              <w:jc w:val="center"/>
              <w:rPr>
                <w:rFonts w:ascii="Arial" w:hAnsi="Arial" w:cs="Arial"/>
              </w:rPr>
            </w:pPr>
          </w:p>
        </w:tc>
        <w:tc>
          <w:tcPr>
            <w:tcW w:w="2931" w:type="dxa"/>
          </w:tcPr>
          <w:p w14:paraId="6DC1CCF7" w14:textId="77777777" w:rsidR="00C63109" w:rsidRPr="003D2B87" w:rsidRDefault="00C63109" w:rsidP="0058442B">
            <w:pPr>
              <w:jc w:val="center"/>
              <w:rPr>
                <w:rFonts w:ascii="Arial" w:hAnsi="Arial" w:cs="Arial"/>
              </w:rPr>
            </w:pPr>
          </w:p>
        </w:tc>
      </w:tr>
      <w:tr w:rsidR="00C63109" w:rsidRPr="003D2B87" w14:paraId="1C570DE3" w14:textId="77777777" w:rsidTr="0058442B">
        <w:trPr>
          <w:trHeight w:val="250"/>
        </w:trPr>
        <w:tc>
          <w:tcPr>
            <w:tcW w:w="2931" w:type="dxa"/>
          </w:tcPr>
          <w:p w14:paraId="5DA704BD" w14:textId="77777777" w:rsidR="00C63109" w:rsidRPr="003D2B87" w:rsidRDefault="00C63109" w:rsidP="0058442B">
            <w:pPr>
              <w:rPr>
                <w:rFonts w:ascii="Arial" w:hAnsi="Arial" w:cs="Arial"/>
                <w:b/>
              </w:rPr>
            </w:pPr>
            <w:r w:rsidRPr="003D2B87">
              <w:rPr>
                <w:rFonts w:ascii="Arial" w:hAnsi="Arial" w:cs="Arial"/>
                <w:b/>
              </w:rPr>
              <w:t>Age Weighted Pupil Unit</w:t>
            </w:r>
          </w:p>
        </w:tc>
        <w:tc>
          <w:tcPr>
            <w:tcW w:w="2931" w:type="dxa"/>
          </w:tcPr>
          <w:p w14:paraId="6B6DB780" w14:textId="77777777" w:rsidR="00C63109" w:rsidRPr="003D2B87" w:rsidRDefault="00C63109" w:rsidP="0058442B">
            <w:pPr>
              <w:jc w:val="center"/>
              <w:rPr>
                <w:rFonts w:ascii="Arial" w:hAnsi="Arial" w:cs="Arial"/>
                <w:b/>
              </w:rPr>
            </w:pPr>
          </w:p>
        </w:tc>
        <w:tc>
          <w:tcPr>
            <w:tcW w:w="2931" w:type="dxa"/>
          </w:tcPr>
          <w:p w14:paraId="6B259877" w14:textId="77777777" w:rsidR="00C63109" w:rsidRPr="003D2B87" w:rsidRDefault="00C63109" w:rsidP="0058442B">
            <w:pPr>
              <w:jc w:val="center"/>
              <w:rPr>
                <w:rFonts w:ascii="Arial" w:hAnsi="Arial" w:cs="Arial"/>
                <w:b/>
              </w:rPr>
            </w:pPr>
          </w:p>
        </w:tc>
      </w:tr>
      <w:tr w:rsidR="00C63109" w:rsidRPr="003D2B87" w14:paraId="423F4BBC" w14:textId="77777777" w:rsidTr="0058442B">
        <w:trPr>
          <w:trHeight w:val="250"/>
        </w:trPr>
        <w:tc>
          <w:tcPr>
            <w:tcW w:w="2931" w:type="dxa"/>
          </w:tcPr>
          <w:p w14:paraId="52BC6C4B" w14:textId="77777777" w:rsidR="00C63109" w:rsidRPr="003D2B87" w:rsidRDefault="00C63109" w:rsidP="0058442B">
            <w:pPr>
              <w:rPr>
                <w:rFonts w:ascii="Arial" w:hAnsi="Arial" w:cs="Arial"/>
              </w:rPr>
            </w:pPr>
            <w:r w:rsidRPr="003D2B87">
              <w:rPr>
                <w:rFonts w:ascii="Arial" w:hAnsi="Arial" w:cs="Arial"/>
              </w:rPr>
              <w:t>Primary</w:t>
            </w:r>
          </w:p>
        </w:tc>
        <w:tc>
          <w:tcPr>
            <w:tcW w:w="2931" w:type="dxa"/>
          </w:tcPr>
          <w:p w14:paraId="2193673E" w14:textId="77777777" w:rsidR="00C63109" w:rsidRPr="003D2B87" w:rsidRDefault="00C63109" w:rsidP="0058442B">
            <w:pPr>
              <w:jc w:val="center"/>
              <w:rPr>
                <w:rFonts w:ascii="Arial" w:hAnsi="Arial" w:cs="Arial"/>
              </w:rPr>
            </w:pPr>
            <w:r w:rsidRPr="003D2B87">
              <w:rPr>
                <w:rFonts w:ascii="Arial" w:hAnsi="Arial" w:cs="Arial"/>
              </w:rPr>
              <w:t>2,747</w:t>
            </w:r>
          </w:p>
        </w:tc>
        <w:tc>
          <w:tcPr>
            <w:tcW w:w="2931" w:type="dxa"/>
          </w:tcPr>
          <w:p w14:paraId="2EEC81E0" w14:textId="77777777" w:rsidR="00C63109" w:rsidRPr="003D2B87" w:rsidRDefault="00C63109" w:rsidP="0058442B">
            <w:pPr>
              <w:jc w:val="center"/>
              <w:rPr>
                <w:rFonts w:ascii="Arial" w:hAnsi="Arial" w:cs="Arial"/>
              </w:rPr>
            </w:pPr>
            <w:r w:rsidRPr="003D2B87">
              <w:rPr>
                <w:rFonts w:ascii="Arial" w:hAnsi="Arial" w:cs="Arial"/>
              </w:rPr>
              <w:t>2,857</w:t>
            </w:r>
          </w:p>
        </w:tc>
      </w:tr>
      <w:tr w:rsidR="00C63109" w:rsidRPr="003D2B87" w14:paraId="2DF3EEF2" w14:textId="77777777" w:rsidTr="0058442B">
        <w:trPr>
          <w:trHeight w:val="250"/>
        </w:trPr>
        <w:tc>
          <w:tcPr>
            <w:tcW w:w="2931" w:type="dxa"/>
          </w:tcPr>
          <w:p w14:paraId="11495194" w14:textId="77777777" w:rsidR="00C63109" w:rsidRPr="003D2B87" w:rsidRDefault="00C63109" w:rsidP="0058442B">
            <w:pPr>
              <w:rPr>
                <w:rFonts w:ascii="Arial" w:hAnsi="Arial" w:cs="Arial"/>
              </w:rPr>
            </w:pPr>
            <w:r w:rsidRPr="003D2B87">
              <w:rPr>
                <w:rFonts w:ascii="Arial" w:hAnsi="Arial" w:cs="Arial"/>
              </w:rPr>
              <w:t>Key Stage 3</w:t>
            </w:r>
          </w:p>
        </w:tc>
        <w:tc>
          <w:tcPr>
            <w:tcW w:w="2931" w:type="dxa"/>
          </w:tcPr>
          <w:p w14:paraId="44CB4BEB" w14:textId="77777777" w:rsidR="00C63109" w:rsidRPr="003D2B87" w:rsidRDefault="00C63109" w:rsidP="0058442B">
            <w:pPr>
              <w:jc w:val="center"/>
              <w:rPr>
                <w:rFonts w:ascii="Arial" w:hAnsi="Arial" w:cs="Arial"/>
              </w:rPr>
            </w:pPr>
            <w:r w:rsidRPr="003D2B87">
              <w:rPr>
                <w:rFonts w:ascii="Arial" w:hAnsi="Arial" w:cs="Arial"/>
              </w:rPr>
              <w:t>3,863</w:t>
            </w:r>
          </w:p>
        </w:tc>
        <w:tc>
          <w:tcPr>
            <w:tcW w:w="2931" w:type="dxa"/>
          </w:tcPr>
          <w:p w14:paraId="462C5634" w14:textId="77777777" w:rsidR="00C63109" w:rsidRPr="003D2B87" w:rsidRDefault="00C63109" w:rsidP="0058442B">
            <w:pPr>
              <w:jc w:val="center"/>
              <w:rPr>
                <w:rFonts w:ascii="Arial" w:hAnsi="Arial" w:cs="Arial"/>
              </w:rPr>
            </w:pPr>
            <w:r w:rsidRPr="003D2B87">
              <w:rPr>
                <w:rFonts w:ascii="Arial" w:hAnsi="Arial" w:cs="Arial"/>
              </w:rPr>
              <w:t>4,018</w:t>
            </w:r>
          </w:p>
        </w:tc>
      </w:tr>
      <w:tr w:rsidR="00C63109" w:rsidRPr="003D2B87" w14:paraId="39F2DE83" w14:textId="77777777" w:rsidTr="0058442B">
        <w:trPr>
          <w:trHeight w:val="250"/>
        </w:trPr>
        <w:tc>
          <w:tcPr>
            <w:tcW w:w="2931" w:type="dxa"/>
          </w:tcPr>
          <w:p w14:paraId="02227C88" w14:textId="77777777" w:rsidR="00C63109" w:rsidRPr="003D2B87" w:rsidRDefault="00C63109" w:rsidP="0058442B">
            <w:pPr>
              <w:rPr>
                <w:rFonts w:ascii="Arial" w:hAnsi="Arial" w:cs="Arial"/>
              </w:rPr>
            </w:pPr>
            <w:r w:rsidRPr="003D2B87">
              <w:rPr>
                <w:rFonts w:ascii="Arial" w:hAnsi="Arial" w:cs="Arial"/>
              </w:rPr>
              <w:t>Key Stage 4</w:t>
            </w:r>
          </w:p>
        </w:tc>
        <w:tc>
          <w:tcPr>
            <w:tcW w:w="2931" w:type="dxa"/>
          </w:tcPr>
          <w:p w14:paraId="00100CE1" w14:textId="77777777" w:rsidR="00C63109" w:rsidRPr="003D2B87" w:rsidRDefault="00C63109" w:rsidP="0058442B">
            <w:pPr>
              <w:jc w:val="center"/>
              <w:rPr>
                <w:rFonts w:ascii="Arial" w:hAnsi="Arial" w:cs="Arial"/>
              </w:rPr>
            </w:pPr>
            <w:r w:rsidRPr="003D2B87">
              <w:rPr>
                <w:rFonts w:ascii="Arial" w:hAnsi="Arial" w:cs="Arial"/>
              </w:rPr>
              <w:t>4,386</w:t>
            </w:r>
          </w:p>
        </w:tc>
        <w:tc>
          <w:tcPr>
            <w:tcW w:w="2931" w:type="dxa"/>
          </w:tcPr>
          <w:p w14:paraId="02CAD24F" w14:textId="77777777" w:rsidR="00C63109" w:rsidRPr="003D2B87" w:rsidRDefault="00C63109" w:rsidP="0058442B">
            <w:pPr>
              <w:jc w:val="center"/>
              <w:rPr>
                <w:rFonts w:ascii="Arial" w:hAnsi="Arial" w:cs="Arial"/>
              </w:rPr>
            </w:pPr>
            <w:r w:rsidRPr="003D2B87">
              <w:rPr>
                <w:rFonts w:ascii="Arial" w:hAnsi="Arial" w:cs="Arial"/>
              </w:rPr>
              <w:t>4,561</w:t>
            </w:r>
          </w:p>
        </w:tc>
      </w:tr>
      <w:tr w:rsidR="00C63109" w:rsidRPr="003D2B87" w14:paraId="4D6E251A" w14:textId="77777777" w:rsidTr="0058442B">
        <w:trPr>
          <w:trHeight w:val="250"/>
        </w:trPr>
        <w:tc>
          <w:tcPr>
            <w:tcW w:w="2931" w:type="dxa"/>
          </w:tcPr>
          <w:p w14:paraId="354F0AD7" w14:textId="77777777" w:rsidR="00C63109" w:rsidRPr="003D2B87" w:rsidRDefault="00C63109" w:rsidP="0058442B">
            <w:pPr>
              <w:rPr>
                <w:rFonts w:ascii="Arial" w:hAnsi="Arial" w:cs="Arial"/>
                <w:b/>
              </w:rPr>
            </w:pPr>
            <w:r w:rsidRPr="003D2B87">
              <w:rPr>
                <w:rFonts w:ascii="Arial" w:hAnsi="Arial" w:cs="Arial"/>
                <w:b/>
              </w:rPr>
              <w:t>Minimum Per Pupil Funding</w:t>
            </w:r>
          </w:p>
        </w:tc>
        <w:tc>
          <w:tcPr>
            <w:tcW w:w="2931" w:type="dxa"/>
          </w:tcPr>
          <w:p w14:paraId="345FB897" w14:textId="77777777" w:rsidR="00C63109" w:rsidRPr="003D2B87" w:rsidRDefault="00C63109" w:rsidP="0058442B">
            <w:pPr>
              <w:jc w:val="center"/>
              <w:rPr>
                <w:rFonts w:ascii="Arial" w:hAnsi="Arial" w:cs="Arial"/>
                <w:b/>
              </w:rPr>
            </w:pPr>
          </w:p>
        </w:tc>
        <w:tc>
          <w:tcPr>
            <w:tcW w:w="2931" w:type="dxa"/>
          </w:tcPr>
          <w:p w14:paraId="57395491" w14:textId="77777777" w:rsidR="00C63109" w:rsidRPr="003D2B87" w:rsidRDefault="00C63109" w:rsidP="0058442B">
            <w:pPr>
              <w:jc w:val="center"/>
              <w:rPr>
                <w:rFonts w:ascii="Arial" w:hAnsi="Arial" w:cs="Arial"/>
                <w:b/>
              </w:rPr>
            </w:pPr>
          </w:p>
        </w:tc>
      </w:tr>
      <w:tr w:rsidR="00C63109" w:rsidRPr="003D2B87" w14:paraId="2F20C475" w14:textId="77777777" w:rsidTr="0058442B">
        <w:trPr>
          <w:trHeight w:val="250"/>
        </w:trPr>
        <w:tc>
          <w:tcPr>
            <w:tcW w:w="2931" w:type="dxa"/>
          </w:tcPr>
          <w:p w14:paraId="15923BE7" w14:textId="77777777" w:rsidR="00C63109" w:rsidRPr="003D2B87" w:rsidRDefault="00C63109" w:rsidP="0058442B">
            <w:pPr>
              <w:rPr>
                <w:rFonts w:ascii="Arial" w:hAnsi="Arial" w:cs="Arial"/>
              </w:rPr>
            </w:pPr>
            <w:r w:rsidRPr="003D2B87">
              <w:rPr>
                <w:rFonts w:ascii="Arial" w:hAnsi="Arial" w:cs="Arial"/>
              </w:rPr>
              <w:t>Primary</w:t>
            </w:r>
          </w:p>
        </w:tc>
        <w:tc>
          <w:tcPr>
            <w:tcW w:w="2931" w:type="dxa"/>
          </w:tcPr>
          <w:p w14:paraId="2610BE26" w14:textId="77777777" w:rsidR="00C63109" w:rsidRPr="003D2B87" w:rsidRDefault="00C63109" w:rsidP="0058442B">
            <w:pPr>
              <w:jc w:val="center"/>
              <w:rPr>
                <w:rFonts w:ascii="Arial" w:hAnsi="Arial" w:cs="Arial"/>
              </w:rPr>
            </w:pPr>
            <w:r w:rsidRPr="003D2B87">
              <w:rPr>
                <w:rFonts w:ascii="Arial" w:hAnsi="Arial" w:cs="Arial"/>
              </w:rPr>
              <w:t>3,500</w:t>
            </w:r>
          </w:p>
        </w:tc>
        <w:tc>
          <w:tcPr>
            <w:tcW w:w="2931" w:type="dxa"/>
          </w:tcPr>
          <w:p w14:paraId="6B5B783E" w14:textId="77777777" w:rsidR="00C63109" w:rsidRPr="003D2B87" w:rsidRDefault="00C63109" w:rsidP="0058442B">
            <w:pPr>
              <w:jc w:val="center"/>
              <w:rPr>
                <w:rFonts w:ascii="Arial" w:hAnsi="Arial" w:cs="Arial"/>
              </w:rPr>
            </w:pPr>
            <w:r w:rsidRPr="003D2B87">
              <w:rPr>
                <w:rFonts w:ascii="Arial" w:hAnsi="Arial" w:cs="Arial"/>
              </w:rPr>
              <w:t>3,750</w:t>
            </w:r>
          </w:p>
        </w:tc>
      </w:tr>
      <w:tr w:rsidR="00C63109" w:rsidRPr="003D2B87" w14:paraId="071EADAF" w14:textId="77777777" w:rsidTr="0058442B">
        <w:trPr>
          <w:trHeight w:val="250"/>
        </w:trPr>
        <w:tc>
          <w:tcPr>
            <w:tcW w:w="2931" w:type="dxa"/>
          </w:tcPr>
          <w:p w14:paraId="171D7F91" w14:textId="77777777" w:rsidR="00C63109" w:rsidRPr="003D2B87" w:rsidRDefault="00C63109" w:rsidP="0058442B">
            <w:pPr>
              <w:rPr>
                <w:rFonts w:ascii="Arial" w:hAnsi="Arial" w:cs="Arial"/>
              </w:rPr>
            </w:pPr>
            <w:r w:rsidRPr="003D2B87">
              <w:rPr>
                <w:rFonts w:ascii="Arial" w:hAnsi="Arial" w:cs="Arial"/>
              </w:rPr>
              <w:t>Secondary</w:t>
            </w:r>
          </w:p>
        </w:tc>
        <w:tc>
          <w:tcPr>
            <w:tcW w:w="2931" w:type="dxa"/>
          </w:tcPr>
          <w:p w14:paraId="61B3A6F4" w14:textId="77777777" w:rsidR="00C63109" w:rsidRPr="003D2B87" w:rsidRDefault="00C63109" w:rsidP="0058442B">
            <w:pPr>
              <w:jc w:val="center"/>
              <w:rPr>
                <w:rFonts w:ascii="Arial" w:hAnsi="Arial" w:cs="Arial"/>
              </w:rPr>
            </w:pPr>
            <w:r w:rsidRPr="003D2B87">
              <w:rPr>
                <w:rFonts w:ascii="Arial" w:hAnsi="Arial" w:cs="Arial"/>
              </w:rPr>
              <w:t>4,800</w:t>
            </w:r>
          </w:p>
        </w:tc>
        <w:tc>
          <w:tcPr>
            <w:tcW w:w="2931" w:type="dxa"/>
          </w:tcPr>
          <w:p w14:paraId="4418D135" w14:textId="77777777" w:rsidR="00C63109" w:rsidRPr="003D2B87" w:rsidRDefault="00C63109" w:rsidP="0058442B">
            <w:pPr>
              <w:jc w:val="center"/>
              <w:rPr>
                <w:rFonts w:ascii="Arial" w:hAnsi="Arial" w:cs="Arial"/>
              </w:rPr>
            </w:pPr>
            <w:r w:rsidRPr="003D2B87">
              <w:rPr>
                <w:rFonts w:ascii="Arial" w:hAnsi="Arial" w:cs="Arial"/>
              </w:rPr>
              <w:t>5,000</w:t>
            </w:r>
          </w:p>
        </w:tc>
      </w:tr>
      <w:tr w:rsidR="00C63109" w:rsidRPr="003D2B87" w14:paraId="02255201" w14:textId="77777777" w:rsidTr="0058442B">
        <w:trPr>
          <w:trHeight w:val="250"/>
        </w:trPr>
        <w:tc>
          <w:tcPr>
            <w:tcW w:w="2931" w:type="dxa"/>
          </w:tcPr>
          <w:p w14:paraId="3EF9B45E" w14:textId="77777777" w:rsidR="00C63109" w:rsidRPr="003D2B87" w:rsidRDefault="00C63109" w:rsidP="0058442B">
            <w:pPr>
              <w:rPr>
                <w:rFonts w:ascii="Arial" w:hAnsi="Arial" w:cs="Arial"/>
                <w:b/>
              </w:rPr>
            </w:pPr>
            <w:r w:rsidRPr="003D2B87">
              <w:rPr>
                <w:rFonts w:ascii="Arial" w:hAnsi="Arial" w:cs="Arial"/>
                <w:b/>
              </w:rPr>
              <w:t>Additional Needs Funding</w:t>
            </w:r>
          </w:p>
        </w:tc>
        <w:tc>
          <w:tcPr>
            <w:tcW w:w="2931" w:type="dxa"/>
          </w:tcPr>
          <w:p w14:paraId="0C8950EB" w14:textId="77777777" w:rsidR="00C63109" w:rsidRPr="003D2B87" w:rsidRDefault="00C63109" w:rsidP="0058442B">
            <w:pPr>
              <w:jc w:val="center"/>
              <w:rPr>
                <w:rFonts w:ascii="Arial" w:hAnsi="Arial" w:cs="Arial"/>
                <w:b/>
              </w:rPr>
            </w:pPr>
          </w:p>
        </w:tc>
        <w:tc>
          <w:tcPr>
            <w:tcW w:w="2931" w:type="dxa"/>
          </w:tcPr>
          <w:p w14:paraId="0AF207E3" w14:textId="77777777" w:rsidR="00C63109" w:rsidRPr="003D2B87" w:rsidRDefault="00C63109" w:rsidP="0058442B">
            <w:pPr>
              <w:jc w:val="center"/>
              <w:rPr>
                <w:rFonts w:ascii="Arial" w:hAnsi="Arial" w:cs="Arial"/>
                <w:b/>
              </w:rPr>
            </w:pPr>
          </w:p>
        </w:tc>
      </w:tr>
      <w:tr w:rsidR="00C63109" w:rsidRPr="003D2B87" w14:paraId="050D5DCB" w14:textId="77777777" w:rsidTr="0058442B">
        <w:trPr>
          <w:trHeight w:val="250"/>
        </w:trPr>
        <w:tc>
          <w:tcPr>
            <w:tcW w:w="2931" w:type="dxa"/>
          </w:tcPr>
          <w:p w14:paraId="6CC7AF3A" w14:textId="77777777" w:rsidR="00C63109" w:rsidRPr="003D2B87" w:rsidRDefault="00C63109" w:rsidP="0058442B">
            <w:pPr>
              <w:rPr>
                <w:rFonts w:ascii="Arial" w:hAnsi="Arial" w:cs="Arial"/>
              </w:rPr>
            </w:pPr>
            <w:r w:rsidRPr="003D2B87">
              <w:rPr>
                <w:rFonts w:ascii="Arial" w:hAnsi="Arial" w:cs="Arial"/>
              </w:rPr>
              <w:t>Primary FSM</w:t>
            </w:r>
          </w:p>
        </w:tc>
        <w:tc>
          <w:tcPr>
            <w:tcW w:w="2931" w:type="dxa"/>
          </w:tcPr>
          <w:p w14:paraId="439A2D1F" w14:textId="77777777" w:rsidR="00C63109" w:rsidRPr="003D2B87" w:rsidRDefault="00C63109" w:rsidP="0058442B">
            <w:pPr>
              <w:jc w:val="center"/>
              <w:rPr>
                <w:rFonts w:ascii="Arial" w:hAnsi="Arial" w:cs="Arial"/>
              </w:rPr>
            </w:pPr>
            <w:r w:rsidRPr="003D2B87">
              <w:rPr>
                <w:rFonts w:ascii="Arial" w:hAnsi="Arial" w:cs="Arial"/>
              </w:rPr>
              <w:t>440</w:t>
            </w:r>
          </w:p>
        </w:tc>
        <w:tc>
          <w:tcPr>
            <w:tcW w:w="2931" w:type="dxa"/>
          </w:tcPr>
          <w:p w14:paraId="0CC1E225" w14:textId="77777777" w:rsidR="00C63109" w:rsidRPr="003D2B87" w:rsidRDefault="00C63109" w:rsidP="0058442B">
            <w:pPr>
              <w:jc w:val="center"/>
              <w:rPr>
                <w:rFonts w:ascii="Arial" w:hAnsi="Arial" w:cs="Arial"/>
              </w:rPr>
            </w:pPr>
            <w:r w:rsidRPr="003D2B87">
              <w:rPr>
                <w:rFonts w:ascii="Arial" w:hAnsi="Arial" w:cs="Arial"/>
              </w:rPr>
              <w:t>450</w:t>
            </w:r>
          </w:p>
        </w:tc>
      </w:tr>
      <w:tr w:rsidR="00C63109" w:rsidRPr="003D2B87" w14:paraId="68BCE247" w14:textId="77777777" w:rsidTr="0058442B">
        <w:trPr>
          <w:trHeight w:val="250"/>
        </w:trPr>
        <w:tc>
          <w:tcPr>
            <w:tcW w:w="2931" w:type="dxa"/>
          </w:tcPr>
          <w:p w14:paraId="6CD3D8A2" w14:textId="77777777" w:rsidR="00C63109" w:rsidRPr="003D2B87" w:rsidRDefault="00C63109" w:rsidP="0058442B">
            <w:pPr>
              <w:rPr>
                <w:rFonts w:ascii="Arial" w:hAnsi="Arial" w:cs="Arial"/>
              </w:rPr>
            </w:pPr>
            <w:r w:rsidRPr="003D2B87">
              <w:rPr>
                <w:rFonts w:ascii="Arial" w:hAnsi="Arial" w:cs="Arial"/>
              </w:rPr>
              <w:t>Secondary FSM</w:t>
            </w:r>
          </w:p>
        </w:tc>
        <w:tc>
          <w:tcPr>
            <w:tcW w:w="2931" w:type="dxa"/>
          </w:tcPr>
          <w:p w14:paraId="162ABF48" w14:textId="77777777" w:rsidR="00C63109" w:rsidRPr="003D2B87" w:rsidRDefault="00C63109" w:rsidP="0058442B">
            <w:pPr>
              <w:jc w:val="center"/>
              <w:rPr>
                <w:rFonts w:ascii="Arial" w:hAnsi="Arial" w:cs="Arial"/>
              </w:rPr>
            </w:pPr>
            <w:r w:rsidRPr="003D2B87">
              <w:rPr>
                <w:rFonts w:ascii="Arial" w:hAnsi="Arial" w:cs="Arial"/>
              </w:rPr>
              <w:t>440</w:t>
            </w:r>
          </w:p>
        </w:tc>
        <w:tc>
          <w:tcPr>
            <w:tcW w:w="2931" w:type="dxa"/>
          </w:tcPr>
          <w:p w14:paraId="00F8ED86" w14:textId="77777777" w:rsidR="00C63109" w:rsidRPr="003D2B87" w:rsidRDefault="00C63109" w:rsidP="0058442B">
            <w:pPr>
              <w:jc w:val="center"/>
              <w:rPr>
                <w:rFonts w:ascii="Arial" w:hAnsi="Arial" w:cs="Arial"/>
              </w:rPr>
            </w:pPr>
            <w:r w:rsidRPr="003D2B87">
              <w:rPr>
                <w:rFonts w:ascii="Arial" w:hAnsi="Arial" w:cs="Arial"/>
              </w:rPr>
              <w:t>450</w:t>
            </w:r>
          </w:p>
        </w:tc>
      </w:tr>
      <w:tr w:rsidR="00C63109" w:rsidRPr="003D2B87" w14:paraId="65A12029" w14:textId="77777777" w:rsidTr="0058442B">
        <w:trPr>
          <w:trHeight w:val="250"/>
        </w:trPr>
        <w:tc>
          <w:tcPr>
            <w:tcW w:w="2931" w:type="dxa"/>
          </w:tcPr>
          <w:p w14:paraId="3141AB44" w14:textId="77777777" w:rsidR="00C63109" w:rsidRPr="003D2B87" w:rsidRDefault="00C63109" w:rsidP="0058442B">
            <w:pPr>
              <w:rPr>
                <w:rFonts w:ascii="Arial" w:hAnsi="Arial" w:cs="Arial"/>
              </w:rPr>
            </w:pPr>
            <w:r w:rsidRPr="003D2B87">
              <w:rPr>
                <w:rFonts w:ascii="Arial" w:hAnsi="Arial" w:cs="Arial"/>
              </w:rPr>
              <w:t>Primary FSM6</w:t>
            </w:r>
          </w:p>
        </w:tc>
        <w:tc>
          <w:tcPr>
            <w:tcW w:w="2931" w:type="dxa"/>
          </w:tcPr>
          <w:p w14:paraId="3F541D1B" w14:textId="77777777" w:rsidR="00C63109" w:rsidRPr="003D2B87" w:rsidRDefault="00C63109" w:rsidP="0058442B">
            <w:pPr>
              <w:jc w:val="center"/>
              <w:rPr>
                <w:rFonts w:ascii="Arial" w:hAnsi="Arial" w:cs="Arial"/>
              </w:rPr>
            </w:pPr>
            <w:r w:rsidRPr="003D2B87">
              <w:rPr>
                <w:rFonts w:ascii="Arial" w:hAnsi="Arial" w:cs="Arial"/>
              </w:rPr>
              <w:t>540</w:t>
            </w:r>
          </w:p>
        </w:tc>
        <w:tc>
          <w:tcPr>
            <w:tcW w:w="2931" w:type="dxa"/>
          </w:tcPr>
          <w:p w14:paraId="18ED60A4" w14:textId="77777777" w:rsidR="00C63109" w:rsidRPr="003D2B87" w:rsidRDefault="00C63109" w:rsidP="0058442B">
            <w:pPr>
              <w:jc w:val="center"/>
              <w:rPr>
                <w:rFonts w:ascii="Arial" w:hAnsi="Arial" w:cs="Arial"/>
              </w:rPr>
            </w:pPr>
            <w:r w:rsidRPr="003D2B87">
              <w:rPr>
                <w:rFonts w:ascii="Arial" w:hAnsi="Arial" w:cs="Arial"/>
              </w:rPr>
              <w:t>560</w:t>
            </w:r>
          </w:p>
        </w:tc>
      </w:tr>
      <w:tr w:rsidR="00C63109" w:rsidRPr="003D2B87" w14:paraId="46914D0D" w14:textId="77777777" w:rsidTr="0058442B">
        <w:trPr>
          <w:trHeight w:val="250"/>
        </w:trPr>
        <w:tc>
          <w:tcPr>
            <w:tcW w:w="2931" w:type="dxa"/>
          </w:tcPr>
          <w:p w14:paraId="715BA1A7" w14:textId="77777777" w:rsidR="00C63109" w:rsidRPr="003D2B87" w:rsidRDefault="00C63109" w:rsidP="0058442B">
            <w:pPr>
              <w:rPr>
                <w:rFonts w:ascii="Arial" w:hAnsi="Arial" w:cs="Arial"/>
              </w:rPr>
            </w:pPr>
            <w:r w:rsidRPr="003D2B87">
              <w:rPr>
                <w:rFonts w:ascii="Arial" w:hAnsi="Arial" w:cs="Arial"/>
              </w:rPr>
              <w:t>Secondary FSM6</w:t>
            </w:r>
          </w:p>
        </w:tc>
        <w:tc>
          <w:tcPr>
            <w:tcW w:w="2931" w:type="dxa"/>
          </w:tcPr>
          <w:p w14:paraId="63557EEC" w14:textId="77777777" w:rsidR="00C63109" w:rsidRPr="003D2B87" w:rsidRDefault="00C63109" w:rsidP="0058442B">
            <w:pPr>
              <w:jc w:val="center"/>
              <w:rPr>
                <w:rFonts w:ascii="Arial" w:hAnsi="Arial" w:cs="Arial"/>
              </w:rPr>
            </w:pPr>
            <w:r w:rsidRPr="003D2B87">
              <w:rPr>
                <w:rFonts w:ascii="Arial" w:hAnsi="Arial" w:cs="Arial"/>
              </w:rPr>
              <w:t>785</w:t>
            </w:r>
          </w:p>
        </w:tc>
        <w:tc>
          <w:tcPr>
            <w:tcW w:w="2931" w:type="dxa"/>
          </w:tcPr>
          <w:p w14:paraId="61F31C4B" w14:textId="77777777" w:rsidR="00C63109" w:rsidRPr="003D2B87" w:rsidRDefault="00C63109" w:rsidP="0058442B">
            <w:pPr>
              <w:jc w:val="center"/>
              <w:rPr>
                <w:rFonts w:ascii="Arial" w:hAnsi="Arial" w:cs="Arial"/>
              </w:rPr>
            </w:pPr>
            <w:r w:rsidRPr="003D2B87">
              <w:rPr>
                <w:rFonts w:ascii="Arial" w:hAnsi="Arial" w:cs="Arial"/>
              </w:rPr>
              <w:t>815</w:t>
            </w:r>
          </w:p>
        </w:tc>
      </w:tr>
      <w:tr w:rsidR="00C63109" w:rsidRPr="003D2B87" w14:paraId="1E39D1BD" w14:textId="77777777" w:rsidTr="0058442B">
        <w:trPr>
          <w:trHeight w:val="250"/>
        </w:trPr>
        <w:tc>
          <w:tcPr>
            <w:tcW w:w="2931" w:type="dxa"/>
          </w:tcPr>
          <w:p w14:paraId="4F45C377" w14:textId="77777777" w:rsidR="00C63109" w:rsidRPr="003D2B87" w:rsidRDefault="00C63109" w:rsidP="0058442B">
            <w:pPr>
              <w:rPr>
                <w:rFonts w:ascii="Arial" w:hAnsi="Arial" w:cs="Arial"/>
              </w:rPr>
            </w:pPr>
            <w:r w:rsidRPr="003D2B87">
              <w:rPr>
                <w:rFonts w:ascii="Arial" w:hAnsi="Arial" w:cs="Arial"/>
              </w:rPr>
              <w:t>Primary IDACI A</w:t>
            </w:r>
          </w:p>
        </w:tc>
        <w:tc>
          <w:tcPr>
            <w:tcW w:w="2931" w:type="dxa"/>
          </w:tcPr>
          <w:p w14:paraId="42687A9B" w14:textId="77777777" w:rsidR="00C63109" w:rsidRPr="003D2B87" w:rsidRDefault="00C63109" w:rsidP="0058442B">
            <w:pPr>
              <w:jc w:val="center"/>
              <w:rPr>
                <w:rFonts w:ascii="Arial" w:hAnsi="Arial" w:cs="Arial"/>
              </w:rPr>
            </w:pPr>
            <w:r w:rsidRPr="003D2B87">
              <w:rPr>
                <w:rFonts w:ascii="Arial" w:hAnsi="Arial" w:cs="Arial"/>
              </w:rPr>
              <w:t>575</w:t>
            </w:r>
          </w:p>
        </w:tc>
        <w:tc>
          <w:tcPr>
            <w:tcW w:w="2931" w:type="dxa"/>
          </w:tcPr>
          <w:p w14:paraId="3D346600" w14:textId="77777777" w:rsidR="00C63109" w:rsidRPr="003D2B87" w:rsidRDefault="00C63109" w:rsidP="0058442B">
            <w:pPr>
              <w:jc w:val="center"/>
              <w:rPr>
                <w:rFonts w:ascii="Arial" w:hAnsi="Arial" w:cs="Arial"/>
              </w:rPr>
            </w:pPr>
            <w:r w:rsidRPr="003D2B87">
              <w:rPr>
                <w:rFonts w:ascii="Arial" w:hAnsi="Arial" w:cs="Arial"/>
              </w:rPr>
              <w:t>600</w:t>
            </w:r>
          </w:p>
        </w:tc>
      </w:tr>
      <w:tr w:rsidR="00C63109" w:rsidRPr="003D2B87" w14:paraId="04E9E860" w14:textId="77777777" w:rsidTr="0058442B">
        <w:trPr>
          <w:trHeight w:val="250"/>
        </w:trPr>
        <w:tc>
          <w:tcPr>
            <w:tcW w:w="2931" w:type="dxa"/>
          </w:tcPr>
          <w:p w14:paraId="2B2FFAEE" w14:textId="77777777" w:rsidR="00C63109" w:rsidRPr="003D2B87" w:rsidRDefault="00C63109" w:rsidP="0058442B">
            <w:pPr>
              <w:rPr>
                <w:rFonts w:ascii="Arial" w:hAnsi="Arial" w:cs="Arial"/>
              </w:rPr>
            </w:pPr>
            <w:r w:rsidRPr="003D2B87">
              <w:rPr>
                <w:rFonts w:ascii="Arial" w:hAnsi="Arial" w:cs="Arial"/>
              </w:rPr>
              <w:t>Primary IDACI B</w:t>
            </w:r>
          </w:p>
        </w:tc>
        <w:tc>
          <w:tcPr>
            <w:tcW w:w="2931" w:type="dxa"/>
          </w:tcPr>
          <w:p w14:paraId="6ABA49EF" w14:textId="77777777" w:rsidR="00C63109" w:rsidRPr="003D2B87" w:rsidRDefault="00C63109" w:rsidP="0058442B">
            <w:pPr>
              <w:jc w:val="center"/>
              <w:rPr>
                <w:rFonts w:ascii="Arial" w:hAnsi="Arial" w:cs="Arial"/>
              </w:rPr>
            </w:pPr>
            <w:r w:rsidRPr="003D2B87">
              <w:rPr>
                <w:rFonts w:ascii="Arial" w:hAnsi="Arial" w:cs="Arial"/>
              </w:rPr>
              <w:t>420</w:t>
            </w:r>
          </w:p>
        </w:tc>
        <w:tc>
          <w:tcPr>
            <w:tcW w:w="2931" w:type="dxa"/>
          </w:tcPr>
          <w:p w14:paraId="07B34EFD" w14:textId="77777777" w:rsidR="00C63109" w:rsidRPr="003D2B87" w:rsidRDefault="00C63109" w:rsidP="0058442B">
            <w:pPr>
              <w:jc w:val="center"/>
              <w:rPr>
                <w:rFonts w:ascii="Arial" w:hAnsi="Arial" w:cs="Arial"/>
              </w:rPr>
            </w:pPr>
            <w:r w:rsidRPr="003D2B87">
              <w:rPr>
                <w:rFonts w:ascii="Arial" w:hAnsi="Arial" w:cs="Arial"/>
              </w:rPr>
              <w:t>435</w:t>
            </w:r>
          </w:p>
        </w:tc>
      </w:tr>
      <w:tr w:rsidR="00C63109" w:rsidRPr="003D2B87" w14:paraId="5BC52C47" w14:textId="77777777" w:rsidTr="0058442B">
        <w:trPr>
          <w:trHeight w:val="250"/>
        </w:trPr>
        <w:tc>
          <w:tcPr>
            <w:tcW w:w="2931" w:type="dxa"/>
          </w:tcPr>
          <w:p w14:paraId="1C8461A6" w14:textId="77777777" w:rsidR="00C63109" w:rsidRPr="003D2B87" w:rsidRDefault="00C63109" w:rsidP="0058442B">
            <w:pPr>
              <w:rPr>
                <w:rFonts w:ascii="Arial" w:hAnsi="Arial" w:cs="Arial"/>
              </w:rPr>
            </w:pPr>
            <w:r w:rsidRPr="003D2B87">
              <w:rPr>
                <w:rFonts w:ascii="Arial" w:hAnsi="Arial" w:cs="Arial"/>
              </w:rPr>
              <w:t>Primary IDACI C</w:t>
            </w:r>
          </w:p>
        </w:tc>
        <w:tc>
          <w:tcPr>
            <w:tcW w:w="2931" w:type="dxa"/>
          </w:tcPr>
          <w:p w14:paraId="1DA2EEAE" w14:textId="77777777" w:rsidR="00C63109" w:rsidRPr="003D2B87" w:rsidRDefault="00C63109" w:rsidP="0058442B">
            <w:pPr>
              <w:jc w:val="center"/>
              <w:rPr>
                <w:rFonts w:ascii="Arial" w:hAnsi="Arial" w:cs="Arial"/>
              </w:rPr>
            </w:pPr>
            <w:r w:rsidRPr="003D2B87">
              <w:rPr>
                <w:rFonts w:ascii="Arial" w:hAnsi="Arial" w:cs="Arial"/>
              </w:rPr>
              <w:t>390</w:t>
            </w:r>
          </w:p>
        </w:tc>
        <w:tc>
          <w:tcPr>
            <w:tcW w:w="2931" w:type="dxa"/>
          </w:tcPr>
          <w:p w14:paraId="0EAB46BB" w14:textId="77777777" w:rsidR="00C63109" w:rsidRPr="003D2B87" w:rsidRDefault="00C63109" w:rsidP="0058442B">
            <w:pPr>
              <w:jc w:val="center"/>
              <w:rPr>
                <w:rFonts w:ascii="Arial" w:hAnsi="Arial" w:cs="Arial"/>
              </w:rPr>
            </w:pPr>
            <w:r w:rsidRPr="003D2B87">
              <w:rPr>
                <w:rFonts w:ascii="Arial" w:hAnsi="Arial" w:cs="Arial"/>
              </w:rPr>
              <w:t>405</w:t>
            </w:r>
          </w:p>
        </w:tc>
      </w:tr>
      <w:tr w:rsidR="00C63109" w:rsidRPr="003D2B87" w14:paraId="079B6969" w14:textId="77777777" w:rsidTr="0058442B">
        <w:trPr>
          <w:trHeight w:val="250"/>
        </w:trPr>
        <w:tc>
          <w:tcPr>
            <w:tcW w:w="2931" w:type="dxa"/>
          </w:tcPr>
          <w:p w14:paraId="36409069" w14:textId="77777777" w:rsidR="00C63109" w:rsidRPr="003D2B87" w:rsidRDefault="00C63109" w:rsidP="0058442B">
            <w:pPr>
              <w:rPr>
                <w:rFonts w:ascii="Arial" w:hAnsi="Arial" w:cs="Arial"/>
              </w:rPr>
            </w:pPr>
            <w:r w:rsidRPr="003D2B87">
              <w:rPr>
                <w:rFonts w:ascii="Arial" w:hAnsi="Arial" w:cs="Arial"/>
              </w:rPr>
              <w:t>Primary IDACI D</w:t>
            </w:r>
          </w:p>
        </w:tc>
        <w:tc>
          <w:tcPr>
            <w:tcW w:w="2931" w:type="dxa"/>
          </w:tcPr>
          <w:p w14:paraId="65F0E635" w14:textId="77777777" w:rsidR="00C63109" w:rsidRPr="003D2B87" w:rsidRDefault="00C63109" w:rsidP="0058442B">
            <w:pPr>
              <w:jc w:val="center"/>
              <w:rPr>
                <w:rFonts w:ascii="Arial" w:hAnsi="Arial" w:cs="Arial"/>
              </w:rPr>
            </w:pPr>
            <w:r w:rsidRPr="003D2B87">
              <w:rPr>
                <w:rFonts w:ascii="Arial" w:hAnsi="Arial" w:cs="Arial"/>
              </w:rPr>
              <w:t>360</w:t>
            </w:r>
          </w:p>
        </w:tc>
        <w:tc>
          <w:tcPr>
            <w:tcW w:w="2931" w:type="dxa"/>
          </w:tcPr>
          <w:p w14:paraId="65BC65D4" w14:textId="77777777" w:rsidR="00C63109" w:rsidRPr="003D2B87" w:rsidRDefault="00C63109" w:rsidP="0058442B">
            <w:pPr>
              <w:jc w:val="center"/>
              <w:rPr>
                <w:rFonts w:ascii="Arial" w:hAnsi="Arial" w:cs="Arial"/>
              </w:rPr>
            </w:pPr>
            <w:r w:rsidRPr="003D2B87">
              <w:rPr>
                <w:rFonts w:ascii="Arial" w:hAnsi="Arial" w:cs="Arial"/>
              </w:rPr>
              <w:t>375</w:t>
            </w:r>
          </w:p>
        </w:tc>
      </w:tr>
      <w:tr w:rsidR="00C63109" w:rsidRPr="003D2B87" w14:paraId="18663E10" w14:textId="77777777" w:rsidTr="0058442B">
        <w:trPr>
          <w:trHeight w:val="250"/>
        </w:trPr>
        <w:tc>
          <w:tcPr>
            <w:tcW w:w="2931" w:type="dxa"/>
          </w:tcPr>
          <w:p w14:paraId="70278A21" w14:textId="77777777" w:rsidR="00C63109" w:rsidRPr="003D2B87" w:rsidRDefault="00C63109" w:rsidP="0058442B">
            <w:pPr>
              <w:rPr>
                <w:rFonts w:ascii="Arial" w:hAnsi="Arial" w:cs="Arial"/>
              </w:rPr>
            </w:pPr>
            <w:r w:rsidRPr="003D2B87">
              <w:rPr>
                <w:rFonts w:ascii="Arial" w:hAnsi="Arial" w:cs="Arial"/>
              </w:rPr>
              <w:t>Primary IDACI E</w:t>
            </w:r>
          </w:p>
        </w:tc>
        <w:tc>
          <w:tcPr>
            <w:tcW w:w="2931" w:type="dxa"/>
          </w:tcPr>
          <w:p w14:paraId="37EAFB8A" w14:textId="77777777" w:rsidR="00C63109" w:rsidRPr="003D2B87" w:rsidRDefault="00C63109" w:rsidP="0058442B">
            <w:pPr>
              <w:jc w:val="center"/>
              <w:rPr>
                <w:rFonts w:ascii="Arial" w:hAnsi="Arial" w:cs="Arial"/>
              </w:rPr>
            </w:pPr>
            <w:r w:rsidRPr="003D2B87">
              <w:rPr>
                <w:rFonts w:ascii="Arial" w:hAnsi="Arial" w:cs="Arial"/>
              </w:rPr>
              <w:t>240</w:t>
            </w:r>
          </w:p>
        </w:tc>
        <w:tc>
          <w:tcPr>
            <w:tcW w:w="2931" w:type="dxa"/>
          </w:tcPr>
          <w:p w14:paraId="4CC0B82C" w14:textId="77777777" w:rsidR="00C63109" w:rsidRPr="003D2B87" w:rsidRDefault="00C63109" w:rsidP="0058442B">
            <w:pPr>
              <w:jc w:val="center"/>
              <w:rPr>
                <w:rFonts w:ascii="Arial" w:hAnsi="Arial" w:cs="Arial"/>
              </w:rPr>
            </w:pPr>
            <w:r w:rsidRPr="003D2B87">
              <w:rPr>
                <w:rFonts w:ascii="Arial" w:hAnsi="Arial" w:cs="Arial"/>
              </w:rPr>
              <w:t>250</w:t>
            </w:r>
          </w:p>
        </w:tc>
      </w:tr>
      <w:tr w:rsidR="00C63109" w:rsidRPr="003D2B87" w14:paraId="0EC66408" w14:textId="77777777" w:rsidTr="0058442B">
        <w:trPr>
          <w:trHeight w:val="250"/>
        </w:trPr>
        <w:tc>
          <w:tcPr>
            <w:tcW w:w="2931" w:type="dxa"/>
          </w:tcPr>
          <w:p w14:paraId="2567A9A1" w14:textId="77777777" w:rsidR="00C63109" w:rsidRPr="003D2B87" w:rsidRDefault="00C63109" w:rsidP="0058442B">
            <w:pPr>
              <w:rPr>
                <w:rFonts w:ascii="Arial" w:hAnsi="Arial" w:cs="Arial"/>
              </w:rPr>
            </w:pPr>
            <w:r w:rsidRPr="003D2B87">
              <w:rPr>
                <w:rFonts w:ascii="Arial" w:hAnsi="Arial" w:cs="Arial"/>
              </w:rPr>
              <w:t>Primary IDACI F</w:t>
            </w:r>
          </w:p>
        </w:tc>
        <w:tc>
          <w:tcPr>
            <w:tcW w:w="2931" w:type="dxa"/>
          </w:tcPr>
          <w:p w14:paraId="14E359B6" w14:textId="77777777" w:rsidR="00C63109" w:rsidRPr="003D2B87" w:rsidRDefault="00C63109" w:rsidP="0058442B">
            <w:pPr>
              <w:jc w:val="center"/>
              <w:rPr>
                <w:rFonts w:ascii="Arial" w:hAnsi="Arial" w:cs="Arial"/>
              </w:rPr>
            </w:pPr>
            <w:r w:rsidRPr="003D2B87">
              <w:rPr>
                <w:rFonts w:ascii="Arial" w:hAnsi="Arial" w:cs="Arial"/>
              </w:rPr>
              <w:t>200</w:t>
            </w:r>
          </w:p>
        </w:tc>
        <w:tc>
          <w:tcPr>
            <w:tcW w:w="2931" w:type="dxa"/>
          </w:tcPr>
          <w:p w14:paraId="70F554E2" w14:textId="77777777" w:rsidR="00C63109" w:rsidRPr="003D2B87" w:rsidRDefault="00C63109" w:rsidP="0058442B">
            <w:pPr>
              <w:jc w:val="center"/>
              <w:rPr>
                <w:rFonts w:ascii="Arial" w:hAnsi="Arial" w:cs="Arial"/>
              </w:rPr>
            </w:pPr>
            <w:r w:rsidRPr="003D2B87">
              <w:rPr>
                <w:rFonts w:ascii="Arial" w:hAnsi="Arial" w:cs="Arial"/>
              </w:rPr>
              <w:t>210</w:t>
            </w:r>
          </w:p>
        </w:tc>
      </w:tr>
      <w:tr w:rsidR="00C63109" w:rsidRPr="003D2B87" w14:paraId="61A9AC02" w14:textId="77777777" w:rsidTr="0058442B">
        <w:trPr>
          <w:trHeight w:val="250"/>
        </w:trPr>
        <w:tc>
          <w:tcPr>
            <w:tcW w:w="2931" w:type="dxa"/>
          </w:tcPr>
          <w:p w14:paraId="6BF8392E" w14:textId="77777777" w:rsidR="00C63109" w:rsidRPr="003D2B87" w:rsidRDefault="00C63109" w:rsidP="0058442B">
            <w:pPr>
              <w:rPr>
                <w:rFonts w:ascii="Arial" w:hAnsi="Arial" w:cs="Arial"/>
              </w:rPr>
            </w:pPr>
            <w:r w:rsidRPr="003D2B87">
              <w:rPr>
                <w:rFonts w:ascii="Arial" w:hAnsi="Arial" w:cs="Arial"/>
              </w:rPr>
              <w:t>Secondary IDACI A</w:t>
            </w:r>
          </w:p>
        </w:tc>
        <w:tc>
          <w:tcPr>
            <w:tcW w:w="2931" w:type="dxa"/>
          </w:tcPr>
          <w:p w14:paraId="2CB69558" w14:textId="77777777" w:rsidR="00C63109" w:rsidRPr="003D2B87" w:rsidRDefault="00C63109" w:rsidP="0058442B">
            <w:pPr>
              <w:jc w:val="center"/>
              <w:rPr>
                <w:rFonts w:ascii="Arial" w:hAnsi="Arial" w:cs="Arial"/>
              </w:rPr>
            </w:pPr>
            <w:r w:rsidRPr="003D2B87">
              <w:rPr>
                <w:rFonts w:ascii="Arial" w:hAnsi="Arial" w:cs="Arial"/>
              </w:rPr>
              <w:t>810</w:t>
            </w:r>
          </w:p>
        </w:tc>
        <w:tc>
          <w:tcPr>
            <w:tcW w:w="2931" w:type="dxa"/>
          </w:tcPr>
          <w:p w14:paraId="738C1FB7" w14:textId="77777777" w:rsidR="00C63109" w:rsidRPr="003D2B87" w:rsidRDefault="00C63109" w:rsidP="0058442B">
            <w:pPr>
              <w:jc w:val="center"/>
              <w:rPr>
                <w:rFonts w:ascii="Arial" w:hAnsi="Arial" w:cs="Arial"/>
              </w:rPr>
            </w:pPr>
            <w:r w:rsidRPr="003D2B87">
              <w:rPr>
                <w:rFonts w:ascii="Arial" w:hAnsi="Arial" w:cs="Arial"/>
              </w:rPr>
              <w:t>840</w:t>
            </w:r>
          </w:p>
        </w:tc>
      </w:tr>
      <w:tr w:rsidR="00C63109" w:rsidRPr="003D2B87" w14:paraId="18BB8CE5" w14:textId="77777777" w:rsidTr="0058442B">
        <w:trPr>
          <w:trHeight w:val="250"/>
        </w:trPr>
        <w:tc>
          <w:tcPr>
            <w:tcW w:w="2931" w:type="dxa"/>
          </w:tcPr>
          <w:p w14:paraId="4538C4BC" w14:textId="77777777" w:rsidR="00C63109" w:rsidRPr="003D2B87" w:rsidRDefault="00C63109" w:rsidP="0058442B">
            <w:pPr>
              <w:rPr>
                <w:rFonts w:ascii="Arial" w:hAnsi="Arial" w:cs="Arial"/>
              </w:rPr>
            </w:pPr>
            <w:r w:rsidRPr="003D2B87">
              <w:rPr>
                <w:rFonts w:ascii="Arial" w:hAnsi="Arial" w:cs="Arial"/>
              </w:rPr>
              <w:t>Secondary IDACI B</w:t>
            </w:r>
          </w:p>
        </w:tc>
        <w:tc>
          <w:tcPr>
            <w:tcW w:w="2931" w:type="dxa"/>
          </w:tcPr>
          <w:p w14:paraId="2DE02B60" w14:textId="77777777" w:rsidR="00C63109" w:rsidRPr="003D2B87" w:rsidRDefault="00C63109" w:rsidP="0058442B">
            <w:pPr>
              <w:jc w:val="center"/>
              <w:rPr>
                <w:rFonts w:ascii="Arial" w:hAnsi="Arial" w:cs="Arial"/>
              </w:rPr>
            </w:pPr>
            <w:r w:rsidRPr="003D2B87">
              <w:rPr>
                <w:rFonts w:ascii="Arial" w:hAnsi="Arial" w:cs="Arial"/>
              </w:rPr>
              <w:t>600</w:t>
            </w:r>
          </w:p>
        </w:tc>
        <w:tc>
          <w:tcPr>
            <w:tcW w:w="2931" w:type="dxa"/>
          </w:tcPr>
          <w:p w14:paraId="0BECDBDE" w14:textId="77777777" w:rsidR="00C63109" w:rsidRPr="003D2B87" w:rsidRDefault="00C63109" w:rsidP="0058442B">
            <w:pPr>
              <w:jc w:val="center"/>
              <w:rPr>
                <w:rFonts w:ascii="Arial" w:hAnsi="Arial" w:cs="Arial"/>
              </w:rPr>
            </w:pPr>
            <w:r w:rsidRPr="003D2B87">
              <w:rPr>
                <w:rFonts w:ascii="Arial" w:hAnsi="Arial" w:cs="Arial"/>
              </w:rPr>
              <w:t>625</w:t>
            </w:r>
          </w:p>
        </w:tc>
      </w:tr>
      <w:tr w:rsidR="00C63109" w:rsidRPr="003D2B87" w14:paraId="373206FA" w14:textId="77777777" w:rsidTr="0058442B">
        <w:trPr>
          <w:trHeight w:val="250"/>
        </w:trPr>
        <w:tc>
          <w:tcPr>
            <w:tcW w:w="2931" w:type="dxa"/>
          </w:tcPr>
          <w:p w14:paraId="6E18FE56" w14:textId="77777777" w:rsidR="00C63109" w:rsidRPr="003D2B87" w:rsidRDefault="00C63109" w:rsidP="0058442B">
            <w:pPr>
              <w:rPr>
                <w:rFonts w:ascii="Arial" w:hAnsi="Arial" w:cs="Arial"/>
              </w:rPr>
            </w:pPr>
            <w:r w:rsidRPr="003D2B87">
              <w:rPr>
                <w:rFonts w:ascii="Arial" w:hAnsi="Arial" w:cs="Arial"/>
              </w:rPr>
              <w:t>Secondary IDACI C</w:t>
            </w:r>
          </w:p>
        </w:tc>
        <w:tc>
          <w:tcPr>
            <w:tcW w:w="2931" w:type="dxa"/>
          </w:tcPr>
          <w:p w14:paraId="4FE21E94" w14:textId="77777777" w:rsidR="00C63109" w:rsidRPr="003D2B87" w:rsidRDefault="00C63109" w:rsidP="0058442B">
            <w:pPr>
              <w:jc w:val="center"/>
              <w:rPr>
                <w:rFonts w:ascii="Arial" w:hAnsi="Arial" w:cs="Arial"/>
              </w:rPr>
            </w:pPr>
            <w:r w:rsidRPr="003D2B87">
              <w:rPr>
                <w:rFonts w:ascii="Arial" w:hAnsi="Arial" w:cs="Arial"/>
              </w:rPr>
              <w:t>560</w:t>
            </w:r>
          </w:p>
        </w:tc>
        <w:tc>
          <w:tcPr>
            <w:tcW w:w="2931" w:type="dxa"/>
          </w:tcPr>
          <w:p w14:paraId="30BBFEFD" w14:textId="77777777" w:rsidR="00C63109" w:rsidRPr="003D2B87" w:rsidRDefault="00C63109" w:rsidP="0058442B">
            <w:pPr>
              <w:jc w:val="center"/>
              <w:rPr>
                <w:rFonts w:ascii="Arial" w:hAnsi="Arial" w:cs="Arial"/>
              </w:rPr>
            </w:pPr>
            <w:r w:rsidRPr="003D2B87">
              <w:rPr>
                <w:rFonts w:ascii="Arial" w:hAnsi="Arial" w:cs="Arial"/>
              </w:rPr>
              <w:t>580</w:t>
            </w:r>
          </w:p>
        </w:tc>
      </w:tr>
      <w:tr w:rsidR="00C63109" w:rsidRPr="003D2B87" w14:paraId="74DB63CB" w14:textId="77777777" w:rsidTr="0058442B">
        <w:trPr>
          <w:trHeight w:val="250"/>
        </w:trPr>
        <w:tc>
          <w:tcPr>
            <w:tcW w:w="2931" w:type="dxa"/>
          </w:tcPr>
          <w:p w14:paraId="15428136" w14:textId="77777777" w:rsidR="00C63109" w:rsidRPr="003D2B87" w:rsidRDefault="00C63109" w:rsidP="0058442B">
            <w:pPr>
              <w:rPr>
                <w:rFonts w:ascii="Arial" w:hAnsi="Arial" w:cs="Arial"/>
              </w:rPr>
            </w:pPr>
            <w:r w:rsidRPr="003D2B87">
              <w:rPr>
                <w:rFonts w:ascii="Arial" w:hAnsi="Arial" w:cs="Arial"/>
              </w:rPr>
              <w:t>Secondary IDACI D</w:t>
            </w:r>
          </w:p>
        </w:tc>
        <w:tc>
          <w:tcPr>
            <w:tcW w:w="2931" w:type="dxa"/>
          </w:tcPr>
          <w:p w14:paraId="3363A6AC" w14:textId="77777777" w:rsidR="00C63109" w:rsidRPr="003D2B87" w:rsidRDefault="00C63109" w:rsidP="0058442B">
            <w:pPr>
              <w:jc w:val="center"/>
              <w:rPr>
                <w:rFonts w:ascii="Arial" w:hAnsi="Arial" w:cs="Arial"/>
              </w:rPr>
            </w:pPr>
            <w:r w:rsidRPr="003D2B87">
              <w:rPr>
                <w:rFonts w:ascii="Arial" w:hAnsi="Arial" w:cs="Arial"/>
              </w:rPr>
              <w:t>515</w:t>
            </w:r>
          </w:p>
        </w:tc>
        <w:tc>
          <w:tcPr>
            <w:tcW w:w="2931" w:type="dxa"/>
          </w:tcPr>
          <w:p w14:paraId="10FDD4DA" w14:textId="77777777" w:rsidR="00C63109" w:rsidRPr="003D2B87" w:rsidRDefault="00C63109" w:rsidP="0058442B">
            <w:pPr>
              <w:jc w:val="center"/>
              <w:rPr>
                <w:rFonts w:ascii="Arial" w:hAnsi="Arial" w:cs="Arial"/>
              </w:rPr>
            </w:pPr>
            <w:r w:rsidRPr="003D2B87">
              <w:rPr>
                <w:rFonts w:ascii="Arial" w:hAnsi="Arial" w:cs="Arial"/>
              </w:rPr>
              <w:t>535</w:t>
            </w:r>
          </w:p>
        </w:tc>
      </w:tr>
      <w:tr w:rsidR="00C63109" w:rsidRPr="003D2B87" w14:paraId="6956198B" w14:textId="77777777" w:rsidTr="0058442B">
        <w:trPr>
          <w:trHeight w:val="250"/>
        </w:trPr>
        <w:tc>
          <w:tcPr>
            <w:tcW w:w="2931" w:type="dxa"/>
          </w:tcPr>
          <w:p w14:paraId="1F905038" w14:textId="77777777" w:rsidR="00C63109" w:rsidRPr="003D2B87" w:rsidRDefault="00C63109" w:rsidP="0058442B">
            <w:pPr>
              <w:rPr>
                <w:rFonts w:ascii="Arial" w:hAnsi="Arial" w:cs="Arial"/>
              </w:rPr>
            </w:pPr>
            <w:r w:rsidRPr="003D2B87">
              <w:rPr>
                <w:rFonts w:ascii="Arial" w:hAnsi="Arial" w:cs="Arial"/>
              </w:rPr>
              <w:t>Secondary IDACI E</w:t>
            </w:r>
          </w:p>
        </w:tc>
        <w:tc>
          <w:tcPr>
            <w:tcW w:w="2931" w:type="dxa"/>
          </w:tcPr>
          <w:p w14:paraId="7E62365A" w14:textId="77777777" w:rsidR="00C63109" w:rsidRPr="003D2B87" w:rsidRDefault="00C63109" w:rsidP="0058442B">
            <w:pPr>
              <w:jc w:val="center"/>
              <w:rPr>
                <w:rFonts w:ascii="Arial" w:hAnsi="Arial" w:cs="Arial"/>
              </w:rPr>
            </w:pPr>
            <w:r w:rsidRPr="003D2B87">
              <w:rPr>
                <w:rFonts w:ascii="Arial" w:hAnsi="Arial" w:cs="Arial"/>
              </w:rPr>
              <w:t>390</w:t>
            </w:r>
          </w:p>
        </w:tc>
        <w:tc>
          <w:tcPr>
            <w:tcW w:w="2931" w:type="dxa"/>
          </w:tcPr>
          <w:p w14:paraId="18CC1BE0" w14:textId="77777777" w:rsidR="00C63109" w:rsidRPr="003D2B87" w:rsidRDefault="00C63109" w:rsidP="0058442B">
            <w:pPr>
              <w:jc w:val="center"/>
              <w:rPr>
                <w:rFonts w:ascii="Arial" w:hAnsi="Arial" w:cs="Arial"/>
              </w:rPr>
            </w:pPr>
            <w:r w:rsidRPr="003D2B87">
              <w:rPr>
                <w:rFonts w:ascii="Arial" w:hAnsi="Arial" w:cs="Arial"/>
              </w:rPr>
              <w:t>405</w:t>
            </w:r>
          </w:p>
        </w:tc>
      </w:tr>
      <w:tr w:rsidR="00C63109" w:rsidRPr="003D2B87" w14:paraId="119729B9" w14:textId="77777777" w:rsidTr="0058442B">
        <w:trPr>
          <w:trHeight w:val="250"/>
        </w:trPr>
        <w:tc>
          <w:tcPr>
            <w:tcW w:w="2931" w:type="dxa"/>
          </w:tcPr>
          <w:p w14:paraId="271EDA0A" w14:textId="77777777" w:rsidR="00C63109" w:rsidRPr="003D2B87" w:rsidRDefault="00C63109" w:rsidP="0058442B">
            <w:pPr>
              <w:rPr>
                <w:rFonts w:ascii="Arial" w:hAnsi="Arial" w:cs="Arial"/>
              </w:rPr>
            </w:pPr>
            <w:r w:rsidRPr="003D2B87">
              <w:rPr>
                <w:rFonts w:ascii="Arial" w:hAnsi="Arial" w:cs="Arial"/>
              </w:rPr>
              <w:t>Secondary IDACI F</w:t>
            </w:r>
          </w:p>
        </w:tc>
        <w:tc>
          <w:tcPr>
            <w:tcW w:w="2931" w:type="dxa"/>
          </w:tcPr>
          <w:p w14:paraId="659F84BA" w14:textId="77777777" w:rsidR="00C63109" w:rsidRPr="003D2B87" w:rsidRDefault="00C63109" w:rsidP="0058442B">
            <w:pPr>
              <w:jc w:val="center"/>
              <w:rPr>
                <w:rFonts w:ascii="Arial" w:hAnsi="Arial" w:cs="Arial"/>
              </w:rPr>
            </w:pPr>
            <w:r w:rsidRPr="003D2B87">
              <w:rPr>
                <w:rFonts w:ascii="Arial" w:hAnsi="Arial" w:cs="Arial"/>
              </w:rPr>
              <w:t>290</w:t>
            </w:r>
          </w:p>
        </w:tc>
        <w:tc>
          <w:tcPr>
            <w:tcW w:w="2931" w:type="dxa"/>
          </w:tcPr>
          <w:p w14:paraId="33B3BE45" w14:textId="77777777" w:rsidR="00C63109" w:rsidRPr="003D2B87" w:rsidRDefault="00C63109" w:rsidP="0058442B">
            <w:pPr>
              <w:jc w:val="center"/>
              <w:rPr>
                <w:rFonts w:ascii="Arial" w:hAnsi="Arial" w:cs="Arial"/>
              </w:rPr>
            </w:pPr>
            <w:r w:rsidRPr="003D2B87">
              <w:rPr>
                <w:rFonts w:ascii="Arial" w:hAnsi="Arial" w:cs="Arial"/>
              </w:rPr>
              <w:t>300</w:t>
            </w:r>
          </w:p>
        </w:tc>
      </w:tr>
      <w:tr w:rsidR="00C63109" w:rsidRPr="003D2B87" w14:paraId="564E491B" w14:textId="77777777" w:rsidTr="0058442B">
        <w:trPr>
          <w:trHeight w:val="250"/>
        </w:trPr>
        <w:tc>
          <w:tcPr>
            <w:tcW w:w="2931" w:type="dxa"/>
          </w:tcPr>
          <w:p w14:paraId="6F284AB6" w14:textId="77777777" w:rsidR="00C63109" w:rsidRPr="003D2B87" w:rsidRDefault="00C63109" w:rsidP="0058442B">
            <w:pPr>
              <w:rPr>
                <w:rFonts w:ascii="Arial" w:hAnsi="Arial" w:cs="Arial"/>
                <w:b/>
              </w:rPr>
            </w:pPr>
            <w:r w:rsidRPr="003D2B87">
              <w:rPr>
                <w:rFonts w:ascii="Arial" w:hAnsi="Arial" w:cs="Arial"/>
                <w:b/>
              </w:rPr>
              <w:t>Low Prior Attainment</w:t>
            </w:r>
          </w:p>
        </w:tc>
        <w:tc>
          <w:tcPr>
            <w:tcW w:w="2931" w:type="dxa"/>
          </w:tcPr>
          <w:p w14:paraId="77C72445" w14:textId="77777777" w:rsidR="00C63109" w:rsidRPr="003D2B87" w:rsidRDefault="00C63109" w:rsidP="0058442B">
            <w:pPr>
              <w:jc w:val="center"/>
              <w:rPr>
                <w:rFonts w:ascii="Arial" w:hAnsi="Arial" w:cs="Arial"/>
              </w:rPr>
            </w:pPr>
          </w:p>
        </w:tc>
        <w:tc>
          <w:tcPr>
            <w:tcW w:w="2931" w:type="dxa"/>
          </w:tcPr>
          <w:p w14:paraId="2DC76A85" w14:textId="77777777" w:rsidR="00C63109" w:rsidRPr="003D2B87" w:rsidRDefault="00C63109" w:rsidP="0058442B">
            <w:pPr>
              <w:jc w:val="center"/>
              <w:rPr>
                <w:rFonts w:ascii="Arial" w:hAnsi="Arial" w:cs="Arial"/>
              </w:rPr>
            </w:pPr>
          </w:p>
        </w:tc>
      </w:tr>
      <w:tr w:rsidR="00C63109" w:rsidRPr="003D2B87" w14:paraId="52492A56" w14:textId="77777777" w:rsidTr="0058442B">
        <w:trPr>
          <w:trHeight w:val="250"/>
        </w:trPr>
        <w:tc>
          <w:tcPr>
            <w:tcW w:w="2931" w:type="dxa"/>
          </w:tcPr>
          <w:p w14:paraId="14577404" w14:textId="77777777" w:rsidR="00C63109" w:rsidRPr="003D2B87" w:rsidRDefault="00C63109" w:rsidP="0058442B">
            <w:pPr>
              <w:rPr>
                <w:rFonts w:ascii="Arial" w:hAnsi="Arial" w:cs="Arial"/>
              </w:rPr>
            </w:pPr>
            <w:r w:rsidRPr="003D2B87">
              <w:rPr>
                <w:rFonts w:ascii="Arial" w:hAnsi="Arial" w:cs="Arial"/>
              </w:rPr>
              <w:t>Primary LPA</w:t>
            </w:r>
          </w:p>
        </w:tc>
        <w:tc>
          <w:tcPr>
            <w:tcW w:w="2931" w:type="dxa"/>
          </w:tcPr>
          <w:p w14:paraId="7A0A83CF" w14:textId="77777777" w:rsidR="00C63109" w:rsidRPr="003D2B87" w:rsidRDefault="00C63109" w:rsidP="0058442B">
            <w:pPr>
              <w:jc w:val="center"/>
              <w:rPr>
                <w:rFonts w:ascii="Arial" w:hAnsi="Arial" w:cs="Arial"/>
              </w:rPr>
            </w:pPr>
            <w:r w:rsidRPr="003D2B87">
              <w:rPr>
                <w:rFonts w:ascii="Arial" w:hAnsi="Arial" w:cs="Arial"/>
              </w:rPr>
              <w:t>1,022</w:t>
            </w:r>
          </w:p>
        </w:tc>
        <w:tc>
          <w:tcPr>
            <w:tcW w:w="2931" w:type="dxa"/>
          </w:tcPr>
          <w:p w14:paraId="006F8B8C" w14:textId="77777777" w:rsidR="00C63109" w:rsidRPr="003D2B87" w:rsidRDefault="00C63109" w:rsidP="0058442B">
            <w:pPr>
              <w:jc w:val="center"/>
              <w:rPr>
                <w:rFonts w:ascii="Arial" w:hAnsi="Arial" w:cs="Arial"/>
              </w:rPr>
            </w:pPr>
            <w:r w:rsidRPr="003D2B87">
              <w:rPr>
                <w:rFonts w:ascii="Arial" w:hAnsi="Arial" w:cs="Arial"/>
              </w:rPr>
              <w:t>1,065</w:t>
            </w:r>
          </w:p>
        </w:tc>
      </w:tr>
      <w:tr w:rsidR="00C63109" w:rsidRPr="003D2B87" w14:paraId="04038E6D" w14:textId="77777777" w:rsidTr="0058442B">
        <w:trPr>
          <w:trHeight w:val="250"/>
        </w:trPr>
        <w:tc>
          <w:tcPr>
            <w:tcW w:w="2931" w:type="dxa"/>
          </w:tcPr>
          <w:p w14:paraId="5BEA1316" w14:textId="77777777" w:rsidR="00C63109" w:rsidRPr="003D2B87" w:rsidRDefault="00C63109" w:rsidP="0058442B">
            <w:pPr>
              <w:rPr>
                <w:rFonts w:ascii="Arial" w:hAnsi="Arial" w:cs="Arial"/>
              </w:rPr>
            </w:pPr>
            <w:r w:rsidRPr="003D2B87">
              <w:rPr>
                <w:rFonts w:ascii="Arial" w:hAnsi="Arial" w:cs="Arial"/>
              </w:rPr>
              <w:t>Secondary LPA</w:t>
            </w:r>
          </w:p>
        </w:tc>
        <w:tc>
          <w:tcPr>
            <w:tcW w:w="2931" w:type="dxa"/>
          </w:tcPr>
          <w:p w14:paraId="3DEB233C" w14:textId="77777777" w:rsidR="00C63109" w:rsidRPr="003D2B87" w:rsidRDefault="00C63109" w:rsidP="0058442B">
            <w:pPr>
              <w:jc w:val="center"/>
              <w:rPr>
                <w:rFonts w:ascii="Arial" w:hAnsi="Arial" w:cs="Arial"/>
              </w:rPr>
            </w:pPr>
            <w:r w:rsidRPr="003D2B87">
              <w:rPr>
                <w:rFonts w:ascii="Arial" w:hAnsi="Arial" w:cs="Arial"/>
              </w:rPr>
              <w:t>1,550</w:t>
            </w:r>
          </w:p>
        </w:tc>
        <w:tc>
          <w:tcPr>
            <w:tcW w:w="2931" w:type="dxa"/>
          </w:tcPr>
          <w:p w14:paraId="00B39263" w14:textId="77777777" w:rsidR="00C63109" w:rsidRPr="003D2B87" w:rsidRDefault="00C63109" w:rsidP="0058442B">
            <w:pPr>
              <w:jc w:val="center"/>
              <w:rPr>
                <w:rFonts w:ascii="Arial" w:hAnsi="Arial" w:cs="Arial"/>
              </w:rPr>
            </w:pPr>
            <w:r w:rsidRPr="003D2B87">
              <w:rPr>
                <w:rFonts w:ascii="Arial" w:hAnsi="Arial" w:cs="Arial"/>
              </w:rPr>
              <w:t>1,610</w:t>
            </w:r>
          </w:p>
        </w:tc>
      </w:tr>
      <w:tr w:rsidR="00C63109" w:rsidRPr="003D2B87" w14:paraId="726E0CD6" w14:textId="77777777" w:rsidTr="0058442B">
        <w:trPr>
          <w:trHeight w:val="250"/>
        </w:trPr>
        <w:tc>
          <w:tcPr>
            <w:tcW w:w="2931" w:type="dxa"/>
          </w:tcPr>
          <w:p w14:paraId="177B9064" w14:textId="77777777" w:rsidR="00C63109" w:rsidRPr="003D2B87" w:rsidRDefault="00C63109" w:rsidP="0058442B">
            <w:pPr>
              <w:rPr>
                <w:rFonts w:ascii="Arial" w:hAnsi="Arial" w:cs="Arial"/>
                <w:b/>
              </w:rPr>
            </w:pPr>
            <w:r w:rsidRPr="003D2B87">
              <w:rPr>
                <w:rFonts w:ascii="Arial" w:hAnsi="Arial" w:cs="Arial"/>
                <w:b/>
              </w:rPr>
              <w:t>EAL</w:t>
            </w:r>
          </w:p>
        </w:tc>
        <w:tc>
          <w:tcPr>
            <w:tcW w:w="2931" w:type="dxa"/>
          </w:tcPr>
          <w:p w14:paraId="7A5F126A" w14:textId="77777777" w:rsidR="00C63109" w:rsidRPr="003D2B87" w:rsidRDefault="00C63109" w:rsidP="0058442B">
            <w:pPr>
              <w:jc w:val="center"/>
              <w:rPr>
                <w:rFonts w:ascii="Arial" w:hAnsi="Arial" w:cs="Arial"/>
              </w:rPr>
            </w:pPr>
          </w:p>
        </w:tc>
        <w:tc>
          <w:tcPr>
            <w:tcW w:w="2931" w:type="dxa"/>
          </w:tcPr>
          <w:p w14:paraId="2C527562" w14:textId="77777777" w:rsidR="00C63109" w:rsidRPr="003D2B87" w:rsidRDefault="00C63109" w:rsidP="0058442B">
            <w:pPr>
              <w:jc w:val="center"/>
              <w:rPr>
                <w:rFonts w:ascii="Arial" w:hAnsi="Arial" w:cs="Arial"/>
              </w:rPr>
            </w:pPr>
          </w:p>
        </w:tc>
      </w:tr>
      <w:tr w:rsidR="00C63109" w:rsidRPr="003D2B87" w14:paraId="21A6228C" w14:textId="77777777" w:rsidTr="0058442B">
        <w:trPr>
          <w:trHeight w:val="250"/>
        </w:trPr>
        <w:tc>
          <w:tcPr>
            <w:tcW w:w="2931" w:type="dxa"/>
          </w:tcPr>
          <w:p w14:paraId="02EF5E97" w14:textId="77777777" w:rsidR="00C63109" w:rsidRPr="003D2B87" w:rsidRDefault="00C63109" w:rsidP="0058442B">
            <w:pPr>
              <w:rPr>
                <w:rFonts w:ascii="Arial" w:hAnsi="Arial" w:cs="Arial"/>
              </w:rPr>
            </w:pPr>
            <w:r w:rsidRPr="003D2B87">
              <w:rPr>
                <w:rFonts w:ascii="Arial" w:hAnsi="Arial" w:cs="Arial"/>
              </w:rPr>
              <w:t>Primary EAL</w:t>
            </w:r>
          </w:p>
        </w:tc>
        <w:tc>
          <w:tcPr>
            <w:tcW w:w="2931" w:type="dxa"/>
          </w:tcPr>
          <w:p w14:paraId="340C6940" w14:textId="77777777" w:rsidR="00C63109" w:rsidRPr="003D2B87" w:rsidRDefault="00C63109" w:rsidP="0058442B">
            <w:pPr>
              <w:jc w:val="center"/>
              <w:rPr>
                <w:rFonts w:ascii="Arial" w:hAnsi="Arial" w:cs="Arial"/>
              </w:rPr>
            </w:pPr>
            <w:r w:rsidRPr="003D2B87">
              <w:rPr>
                <w:rFonts w:ascii="Arial" w:hAnsi="Arial" w:cs="Arial"/>
              </w:rPr>
              <w:t>515</w:t>
            </w:r>
          </w:p>
        </w:tc>
        <w:tc>
          <w:tcPr>
            <w:tcW w:w="2931" w:type="dxa"/>
          </w:tcPr>
          <w:p w14:paraId="5B2E7E0A" w14:textId="77777777" w:rsidR="00C63109" w:rsidRPr="003D2B87" w:rsidRDefault="00C63109" w:rsidP="0058442B">
            <w:pPr>
              <w:jc w:val="center"/>
              <w:rPr>
                <w:rFonts w:ascii="Arial" w:hAnsi="Arial" w:cs="Arial"/>
              </w:rPr>
            </w:pPr>
            <w:r w:rsidRPr="003D2B87">
              <w:rPr>
                <w:rFonts w:ascii="Arial" w:hAnsi="Arial" w:cs="Arial"/>
              </w:rPr>
              <w:t>535</w:t>
            </w:r>
          </w:p>
        </w:tc>
      </w:tr>
      <w:tr w:rsidR="00C63109" w:rsidRPr="003D2B87" w14:paraId="0305ED5B" w14:textId="77777777" w:rsidTr="0058442B">
        <w:trPr>
          <w:trHeight w:val="250"/>
        </w:trPr>
        <w:tc>
          <w:tcPr>
            <w:tcW w:w="2931" w:type="dxa"/>
          </w:tcPr>
          <w:p w14:paraId="7D881153" w14:textId="77777777" w:rsidR="00C63109" w:rsidRPr="003D2B87" w:rsidRDefault="00C63109" w:rsidP="0058442B">
            <w:pPr>
              <w:rPr>
                <w:rFonts w:ascii="Arial" w:hAnsi="Arial" w:cs="Arial"/>
              </w:rPr>
            </w:pPr>
            <w:r w:rsidRPr="003D2B87">
              <w:rPr>
                <w:rFonts w:ascii="Arial" w:hAnsi="Arial" w:cs="Arial"/>
              </w:rPr>
              <w:t>Secondary EAL</w:t>
            </w:r>
          </w:p>
        </w:tc>
        <w:tc>
          <w:tcPr>
            <w:tcW w:w="2931" w:type="dxa"/>
          </w:tcPr>
          <w:p w14:paraId="680D8D65" w14:textId="77777777" w:rsidR="00C63109" w:rsidRPr="003D2B87" w:rsidRDefault="00C63109" w:rsidP="0058442B">
            <w:pPr>
              <w:jc w:val="center"/>
              <w:rPr>
                <w:rFonts w:ascii="Arial" w:hAnsi="Arial" w:cs="Arial"/>
              </w:rPr>
            </w:pPr>
            <w:r w:rsidRPr="003D2B87">
              <w:rPr>
                <w:rFonts w:ascii="Arial" w:hAnsi="Arial" w:cs="Arial"/>
              </w:rPr>
              <w:t>1,385</w:t>
            </w:r>
          </w:p>
        </w:tc>
        <w:tc>
          <w:tcPr>
            <w:tcW w:w="2931" w:type="dxa"/>
          </w:tcPr>
          <w:p w14:paraId="6AF6396D" w14:textId="77777777" w:rsidR="00C63109" w:rsidRPr="003D2B87" w:rsidRDefault="00C63109" w:rsidP="0058442B">
            <w:pPr>
              <w:jc w:val="center"/>
              <w:rPr>
                <w:rFonts w:ascii="Arial" w:hAnsi="Arial" w:cs="Arial"/>
              </w:rPr>
            </w:pPr>
            <w:r w:rsidRPr="003D2B87">
              <w:rPr>
                <w:rFonts w:ascii="Arial" w:hAnsi="Arial" w:cs="Arial"/>
              </w:rPr>
              <w:t>1,440</w:t>
            </w:r>
          </w:p>
        </w:tc>
      </w:tr>
      <w:tr w:rsidR="00C63109" w:rsidRPr="003D2B87" w14:paraId="5BDC13BF" w14:textId="77777777" w:rsidTr="0058442B">
        <w:trPr>
          <w:trHeight w:val="250"/>
        </w:trPr>
        <w:tc>
          <w:tcPr>
            <w:tcW w:w="2931" w:type="dxa"/>
          </w:tcPr>
          <w:p w14:paraId="156F7F1F" w14:textId="77777777" w:rsidR="00C63109" w:rsidRPr="003D2B87" w:rsidRDefault="00C63109" w:rsidP="0058442B">
            <w:pPr>
              <w:rPr>
                <w:rFonts w:ascii="Arial" w:hAnsi="Arial" w:cs="Arial"/>
                <w:b/>
              </w:rPr>
            </w:pPr>
            <w:r w:rsidRPr="003D2B87">
              <w:rPr>
                <w:rFonts w:ascii="Arial" w:hAnsi="Arial" w:cs="Arial"/>
                <w:b/>
              </w:rPr>
              <w:t>Mobility</w:t>
            </w:r>
          </w:p>
        </w:tc>
        <w:tc>
          <w:tcPr>
            <w:tcW w:w="2931" w:type="dxa"/>
          </w:tcPr>
          <w:p w14:paraId="716C918B" w14:textId="77777777" w:rsidR="00C63109" w:rsidRPr="003D2B87" w:rsidRDefault="00C63109" w:rsidP="0058442B">
            <w:pPr>
              <w:jc w:val="center"/>
              <w:rPr>
                <w:rFonts w:ascii="Arial" w:hAnsi="Arial" w:cs="Arial"/>
              </w:rPr>
            </w:pPr>
          </w:p>
        </w:tc>
        <w:tc>
          <w:tcPr>
            <w:tcW w:w="2931" w:type="dxa"/>
          </w:tcPr>
          <w:p w14:paraId="6D1864B3" w14:textId="77777777" w:rsidR="00C63109" w:rsidRPr="003D2B87" w:rsidRDefault="00C63109" w:rsidP="0058442B">
            <w:pPr>
              <w:jc w:val="center"/>
              <w:rPr>
                <w:rFonts w:ascii="Arial" w:hAnsi="Arial" w:cs="Arial"/>
              </w:rPr>
            </w:pPr>
          </w:p>
        </w:tc>
      </w:tr>
      <w:tr w:rsidR="00C63109" w:rsidRPr="003D2B87" w14:paraId="07AAA735" w14:textId="77777777" w:rsidTr="0058442B">
        <w:trPr>
          <w:trHeight w:val="250"/>
        </w:trPr>
        <w:tc>
          <w:tcPr>
            <w:tcW w:w="2931" w:type="dxa"/>
          </w:tcPr>
          <w:p w14:paraId="24EE75CF" w14:textId="77777777" w:rsidR="00C63109" w:rsidRPr="003D2B87" w:rsidRDefault="00C63109" w:rsidP="0058442B">
            <w:pPr>
              <w:rPr>
                <w:rFonts w:ascii="Arial" w:hAnsi="Arial" w:cs="Arial"/>
              </w:rPr>
            </w:pPr>
            <w:r w:rsidRPr="003D2B87">
              <w:rPr>
                <w:rFonts w:ascii="Arial" w:hAnsi="Arial" w:cs="Arial"/>
              </w:rPr>
              <w:t>Primary Mobility</w:t>
            </w:r>
          </w:p>
        </w:tc>
        <w:tc>
          <w:tcPr>
            <w:tcW w:w="2931" w:type="dxa"/>
          </w:tcPr>
          <w:p w14:paraId="6B2A3D7E" w14:textId="77777777" w:rsidR="00C63109" w:rsidRPr="003D2B87" w:rsidRDefault="00C63109" w:rsidP="0058442B">
            <w:pPr>
              <w:jc w:val="center"/>
              <w:rPr>
                <w:rFonts w:ascii="Arial" w:hAnsi="Arial" w:cs="Arial"/>
              </w:rPr>
            </w:pPr>
            <w:r w:rsidRPr="003D2B87">
              <w:rPr>
                <w:rFonts w:ascii="Arial" w:hAnsi="Arial" w:cs="Arial"/>
              </w:rPr>
              <w:t>Not used</w:t>
            </w:r>
          </w:p>
        </w:tc>
        <w:tc>
          <w:tcPr>
            <w:tcW w:w="2931" w:type="dxa"/>
          </w:tcPr>
          <w:p w14:paraId="4E860CEC" w14:textId="77777777" w:rsidR="00C63109" w:rsidRPr="003D2B87" w:rsidRDefault="00C63109" w:rsidP="0058442B">
            <w:pPr>
              <w:jc w:val="center"/>
              <w:rPr>
                <w:rFonts w:ascii="Arial" w:hAnsi="Arial" w:cs="Arial"/>
              </w:rPr>
            </w:pPr>
            <w:r w:rsidRPr="003D2B87">
              <w:rPr>
                <w:rFonts w:ascii="Arial" w:hAnsi="Arial" w:cs="Arial"/>
              </w:rPr>
              <w:t>875</w:t>
            </w:r>
          </w:p>
        </w:tc>
      </w:tr>
      <w:tr w:rsidR="00C63109" w:rsidRPr="003D2B87" w14:paraId="50735963" w14:textId="77777777" w:rsidTr="0058442B">
        <w:trPr>
          <w:trHeight w:val="250"/>
        </w:trPr>
        <w:tc>
          <w:tcPr>
            <w:tcW w:w="2931" w:type="dxa"/>
          </w:tcPr>
          <w:p w14:paraId="38DD5E31" w14:textId="77777777" w:rsidR="00C63109" w:rsidRPr="003D2B87" w:rsidRDefault="00C63109" w:rsidP="0058442B">
            <w:pPr>
              <w:rPr>
                <w:rFonts w:ascii="Arial" w:hAnsi="Arial" w:cs="Arial"/>
              </w:rPr>
            </w:pPr>
            <w:r w:rsidRPr="003D2B87">
              <w:rPr>
                <w:rFonts w:ascii="Arial" w:hAnsi="Arial" w:cs="Arial"/>
              </w:rPr>
              <w:t>Secondary Mobility</w:t>
            </w:r>
          </w:p>
        </w:tc>
        <w:tc>
          <w:tcPr>
            <w:tcW w:w="2931" w:type="dxa"/>
          </w:tcPr>
          <w:p w14:paraId="1F7351A6" w14:textId="77777777" w:rsidR="00C63109" w:rsidRPr="003D2B87" w:rsidRDefault="00C63109" w:rsidP="0058442B">
            <w:pPr>
              <w:jc w:val="center"/>
              <w:rPr>
                <w:rFonts w:ascii="Arial" w:hAnsi="Arial" w:cs="Arial"/>
              </w:rPr>
            </w:pPr>
            <w:r w:rsidRPr="003D2B87">
              <w:rPr>
                <w:rFonts w:ascii="Arial" w:hAnsi="Arial" w:cs="Arial"/>
              </w:rPr>
              <w:t>Not used</w:t>
            </w:r>
          </w:p>
        </w:tc>
        <w:tc>
          <w:tcPr>
            <w:tcW w:w="2931" w:type="dxa"/>
          </w:tcPr>
          <w:p w14:paraId="26100A99" w14:textId="77777777" w:rsidR="00C63109" w:rsidRPr="003D2B87" w:rsidRDefault="00C63109" w:rsidP="0058442B">
            <w:pPr>
              <w:jc w:val="center"/>
              <w:rPr>
                <w:rFonts w:ascii="Arial" w:hAnsi="Arial" w:cs="Arial"/>
              </w:rPr>
            </w:pPr>
            <w:r w:rsidRPr="003D2B87">
              <w:rPr>
                <w:rFonts w:ascii="Arial" w:hAnsi="Arial" w:cs="Arial"/>
              </w:rPr>
              <w:t>1,250</w:t>
            </w:r>
          </w:p>
        </w:tc>
      </w:tr>
      <w:tr w:rsidR="00C63109" w:rsidRPr="003D2B87" w14:paraId="3706AAC7" w14:textId="77777777" w:rsidTr="0058442B">
        <w:trPr>
          <w:trHeight w:val="250"/>
        </w:trPr>
        <w:tc>
          <w:tcPr>
            <w:tcW w:w="2931" w:type="dxa"/>
          </w:tcPr>
          <w:p w14:paraId="74390194" w14:textId="77777777" w:rsidR="00C63109" w:rsidRPr="003D2B87" w:rsidRDefault="00C63109" w:rsidP="0058442B">
            <w:pPr>
              <w:rPr>
                <w:rFonts w:ascii="Arial" w:hAnsi="Arial" w:cs="Arial"/>
                <w:b/>
              </w:rPr>
            </w:pPr>
            <w:r w:rsidRPr="003D2B87">
              <w:rPr>
                <w:rFonts w:ascii="Arial" w:hAnsi="Arial" w:cs="Arial"/>
                <w:b/>
              </w:rPr>
              <w:t>Lump Sum</w:t>
            </w:r>
          </w:p>
        </w:tc>
        <w:tc>
          <w:tcPr>
            <w:tcW w:w="2931" w:type="dxa"/>
          </w:tcPr>
          <w:p w14:paraId="49FE8A12" w14:textId="77777777" w:rsidR="00C63109" w:rsidRPr="003D2B87" w:rsidRDefault="00C63109" w:rsidP="0058442B">
            <w:pPr>
              <w:jc w:val="center"/>
              <w:rPr>
                <w:rFonts w:ascii="Arial" w:hAnsi="Arial" w:cs="Arial"/>
              </w:rPr>
            </w:pPr>
          </w:p>
        </w:tc>
        <w:tc>
          <w:tcPr>
            <w:tcW w:w="2931" w:type="dxa"/>
          </w:tcPr>
          <w:p w14:paraId="45039F64" w14:textId="77777777" w:rsidR="00C63109" w:rsidRPr="003D2B87" w:rsidRDefault="00C63109" w:rsidP="0058442B">
            <w:pPr>
              <w:jc w:val="center"/>
              <w:rPr>
                <w:rFonts w:ascii="Arial" w:hAnsi="Arial" w:cs="Arial"/>
              </w:rPr>
            </w:pPr>
          </w:p>
        </w:tc>
      </w:tr>
      <w:tr w:rsidR="00C63109" w:rsidRPr="003D2B87" w14:paraId="0CDD5B85" w14:textId="77777777" w:rsidTr="0058442B">
        <w:trPr>
          <w:trHeight w:val="250"/>
        </w:trPr>
        <w:tc>
          <w:tcPr>
            <w:tcW w:w="2931" w:type="dxa"/>
          </w:tcPr>
          <w:p w14:paraId="15D259E7" w14:textId="77777777" w:rsidR="00C63109" w:rsidRPr="003D2B87" w:rsidRDefault="00C63109" w:rsidP="0058442B">
            <w:pPr>
              <w:rPr>
                <w:rFonts w:ascii="Arial" w:hAnsi="Arial" w:cs="Arial"/>
              </w:rPr>
            </w:pPr>
            <w:r w:rsidRPr="003D2B87">
              <w:rPr>
                <w:rFonts w:ascii="Arial" w:hAnsi="Arial" w:cs="Arial"/>
              </w:rPr>
              <w:t>Primary Lump Sum</w:t>
            </w:r>
          </w:p>
        </w:tc>
        <w:tc>
          <w:tcPr>
            <w:tcW w:w="2931" w:type="dxa"/>
          </w:tcPr>
          <w:p w14:paraId="41CFC2F1" w14:textId="77777777" w:rsidR="00C63109" w:rsidRPr="003D2B87" w:rsidRDefault="00C63109" w:rsidP="0058442B">
            <w:pPr>
              <w:jc w:val="center"/>
              <w:rPr>
                <w:rFonts w:ascii="Arial" w:hAnsi="Arial" w:cs="Arial"/>
              </w:rPr>
            </w:pPr>
            <w:r w:rsidRPr="003D2B87">
              <w:rPr>
                <w:rFonts w:ascii="Arial" w:hAnsi="Arial" w:cs="Arial"/>
              </w:rPr>
              <w:t>110,000</w:t>
            </w:r>
          </w:p>
        </w:tc>
        <w:tc>
          <w:tcPr>
            <w:tcW w:w="2931" w:type="dxa"/>
          </w:tcPr>
          <w:p w14:paraId="5A767117" w14:textId="77777777" w:rsidR="00C63109" w:rsidRPr="003D2B87" w:rsidRDefault="00C63109" w:rsidP="0058442B">
            <w:pPr>
              <w:jc w:val="center"/>
              <w:rPr>
                <w:rFonts w:ascii="Arial" w:hAnsi="Arial" w:cs="Arial"/>
              </w:rPr>
            </w:pPr>
            <w:r w:rsidRPr="003D2B87">
              <w:rPr>
                <w:rFonts w:ascii="Arial" w:hAnsi="Arial" w:cs="Arial"/>
              </w:rPr>
              <w:t>114,400</w:t>
            </w:r>
          </w:p>
        </w:tc>
      </w:tr>
      <w:tr w:rsidR="00C63109" w:rsidRPr="003D2B87" w14:paraId="6CA752F4" w14:textId="77777777" w:rsidTr="0058442B">
        <w:trPr>
          <w:trHeight w:val="250"/>
        </w:trPr>
        <w:tc>
          <w:tcPr>
            <w:tcW w:w="2931" w:type="dxa"/>
          </w:tcPr>
          <w:p w14:paraId="230CC0D4" w14:textId="77777777" w:rsidR="00C63109" w:rsidRPr="003D2B87" w:rsidRDefault="00C63109" w:rsidP="0058442B">
            <w:pPr>
              <w:rPr>
                <w:rFonts w:ascii="Arial" w:hAnsi="Arial" w:cs="Arial"/>
              </w:rPr>
            </w:pPr>
            <w:r w:rsidRPr="003D2B87">
              <w:rPr>
                <w:rFonts w:ascii="Arial" w:hAnsi="Arial" w:cs="Arial"/>
              </w:rPr>
              <w:t>Secondary Lump Sum</w:t>
            </w:r>
          </w:p>
        </w:tc>
        <w:tc>
          <w:tcPr>
            <w:tcW w:w="2931" w:type="dxa"/>
          </w:tcPr>
          <w:p w14:paraId="3B4E51BE" w14:textId="77777777" w:rsidR="00C63109" w:rsidRPr="003D2B87" w:rsidRDefault="00C63109" w:rsidP="0058442B">
            <w:pPr>
              <w:jc w:val="center"/>
              <w:rPr>
                <w:rFonts w:ascii="Arial" w:hAnsi="Arial" w:cs="Arial"/>
              </w:rPr>
            </w:pPr>
            <w:r w:rsidRPr="003D2B87">
              <w:rPr>
                <w:rFonts w:ascii="Arial" w:hAnsi="Arial" w:cs="Arial"/>
              </w:rPr>
              <w:t>110,000</w:t>
            </w:r>
          </w:p>
        </w:tc>
        <w:tc>
          <w:tcPr>
            <w:tcW w:w="2931" w:type="dxa"/>
          </w:tcPr>
          <w:p w14:paraId="46A2BFDD" w14:textId="77777777" w:rsidR="00C63109" w:rsidRPr="003D2B87" w:rsidRDefault="00C63109" w:rsidP="0058442B">
            <w:pPr>
              <w:jc w:val="center"/>
              <w:rPr>
                <w:rFonts w:ascii="Arial" w:hAnsi="Arial" w:cs="Arial"/>
              </w:rPr>
            </w:pPr>
            <w:r w:rsidRPr="003D2B87">
              <w:rPr>
                <w:rFonts w:ascii="Arial" w:hAnsi="Arial" w:cs="Arial"/>
              </w:rPr>
              <w:t>114,400</w:t>
            </w:r>
          </w:p>
        </w:tc>
      </w:tr>
      <w:tr w:rsidR="00C63109" w:rsidRPr="003D2B87" w14:paraId="3A6A4A7E" w14:textId="77777777" w:rsidTr="0058442B">
        <w:trPr>
          <w:trHeight w:val="250"/>
        </w:trPr>
        <w:tc>
          <w:tcPr>
            <w:tcW w:w="2931" w:type="dxa"/>
          </w:tcPr>
          <w:p w14:paraId="6A265A64" w14:textId="77777777" w:rsidR="00C63109" w:rsidRPr="003D2B87" w:rsidRDefault="00C63109" w:rsidP="0058442B">
            <w:pPr>
              <w:rPr>
                <w:rFonts w:ascii="Arial" w:hAnsi="Arial" w:cs="Arial"/>
                <w:b/>
              </w:rPr>
            </w:pPr>
            <w:r w:rsidRPr="003D2B87">
              <w:rPr>
                <w:rFonts w:ascii="Arial" w:hAnsi="Arial" w:cs="Arial"/>
                <w:b/>
              </w:rPr>
              <w:t>Sparsity</w:t>
            </w:r>
          </w:p>
        </w:tc>
        <w:tc>
          <w:tcPr>
            <w:tcW w:w="2931" w:type="dxa"/>
          </w:tcPr>
          <w:p w14:paraId="5C66A2FD" w14:textId="77777777" w:rsidR="00C63109" w:rsidRPr="003D2B87" w:rsidRDefault="00C63109" w:rsidP="0058442B">
            <w:pPr>
              <w:jc w:val="center"/>
              <w:rPr>
                <w:rFonts w:ascii="Arial" w:hAnsi="Arial" w:cs="Arial"/>
              </w:rPr>
            </w:pPr>
          </w:p>
        </w:tc>
        <w:tc>
          <w:tcPr>
            <w:tcW w:w="2931" w:type="dxa"/>
          </w:tcPr>
          <w:p w14:paraId="6887BCFE" w14:textId="77777777" w:rsidR="00C63109" w:rsidRPr="003D2B87" w:rsidRDefault="00C63109" w:rsidP="0058442B">
            <w:pPr>
              <w:jc w:val="center"/>
              <w:rPr>
                <w:rFonts w:ascii="Arial" w:hAnsi="Arial" w:cs="Arial"/>
              </w:rPr>
            </w:pPr>
          </w:p>
        </w:tc>
      </w:tr>
      <w:tr w:rsidR="00C63109" w:rsidRPr="003D2B87" w14:paraId="21D4FBBE" w14:textId="77777777" w:rsidTr="0058442B">
        <w:trPr>
          <w:trHeight w:val="250"/>
        </w:trPr>
        <w:tc>
          <w:tcPr>
            <w:tcW w:w="2931" w:type="dxa"/>
          </w:tcPr>
          <w:p w14:paraId="1AB8A508" w14:textId="77777777" w:rsidR="00C63109" w:rsidRPr="003D2B87" w:rsidRDefault="00C63109" w:rsidP="0058442B">
            <w:pPr>
              <w:rPr>
                <w:rFonts w:ascii="Arial" w:hAnsi="Arial" w:cs="Arial"/>
              </w:rPr>
            </w:pPr>
            <w:r w:rsidRPr="003D2B87">
              <w:rPr>
                <w:rFonts w:ascii="Arial" w:hAnsi="Arial" w:cs="Arial"/>
              </w:rPr>
              <w:t>Primary Sparsity</w:t>
            </w:r>
          </w:p>
        </w:tc>
        <w:tc>
          <w:tcPr>
            <w:tcW w:w="2931" w:type="dxa"/>
          </w:tcPr>
          <w:p w14:paraId="389FF4E8" w14:textId="77777777" w:rsidR="00C63109" w:rsidRPr="003D2B87" w:rsidRDefault="00C63109" w:rsidP="0058442B">
            <w:pPr>
              <w:jc w:val="center"/>
              <w:rPr>
                <w:rFonts w:ascii="Arial" w:hAnsi="Arial" w:cs="Arial"/>
              </w:rPr>
            </w:pPr>
            <w:r w:rsidRPr="003D2B87">
              <w:rPr>
                <w:rFonts w:ascii="Arial" w:hAnsi="Arial" w:cs="Arial"/>
              </w:rPr>
              <w:t>25,000</w:t>
            </w:r>
          </w:p>
        </w:tc>
        <w:tc>
          <w:tcPr>
            <w:tcW w:w="2931" w:type="dxa"/>
          </w:tcPr>
          <w:p w14:paraId="6B832951" w14:textId="77777777" w:rsidR="00C63109" w:rsidRPr="003D2B87" w:rsidRDefault="00C63109" w:rsidP="0058442B">
            <w:pPr>
              <w:jc w:val="center"/>
              <w:rPr>
                <w:rFonts w:ascii="Arial" w:hAnsi="Arial" w:cs="Arial"/>
              </w:rPr>
            </w:pPr>
            <w:r w:rsidRPr="003D2B87">
              <w:rPr>
                <w:rFonts w:ascii="Arial" w:hAnsi="Arial" w:cs="Arial"/>
              </w:rPr>
              <w:t>26,000</w:t>
            </w:r>
          </w:p>
        </w:tc>
      </w:tr>
      <w:tr w:rsidR="00C63109" w:rsidRPr="003D2B87" w14:paraId="0194D4E2" w14:textId="77777777" w:rsidTr="0058442B">
        <w:trPr>
          <w:trHeight w:val="250"/>
        </w:trPr>
        <w:tc>
          <w:tcPr>
            <w:tcW w:w="2931" w:type="dxa"/>
          </w:tcPr>
          <w:p w14:paraId="02CA707C" w14:textId="77777777" w:rsidR="00C63109" w:rsidRPr="003D2B87" w:rsidRDefault="00C63109" w:rsidP="0058442B">
            <w:pPr>
              <w:rPr>
                <w:rFonts w:ascii="Arial" w:hAnsi="Arial" w:cs="Arial"/>
              </w:rPr>
            </w:pPr>
            <w:r w:rsidRPr="003D2B87">
              <w:rPr>
                <w:rFonts w:ascii="Arial" w:hAnsi="Arial" w:cs="Arial"/>
              </w:rPr>
              <w:t>Secondary Sparsity</w:t>
            </w:r>
          </w:p>
        </w:tc>
        <w:tc>
          <w:tcPr>
            <w:tcW w:w="2931" w:type="dxa"/>
          </w:tcPr>
          <w:p w14:paraId="2B49EAF6" w14:textId="77777777" w:rsidR="00C63109" w:rsidRPr="003D2B87" w:rsidRDefault="00C63109" w:rsidP="0058442B">
            <w:pPr>
              <w:jc w:val="center"/>
              <w:rPr>
                <w:rFonts w:ascii="Arial" w:hAnsi="Arial" w:cs="Arial"/>
              </w:rPr>
            </w:pPr>
            <w:r w:rsidRPr="003D2B87">
              <w:rPr>
                <w:rFonts w:ascii="Arial" w:hAnsi="Arial" w:cs="Arial"/>
              </w:rPr>
              <w:t>65,000</w:t>
            </w:r>
          </w:p>
        </w:tc>
        <w:tc>
          <w:tcPr>
            <w:tcW w:w="2931" w:type="dxa"/>
          </w:tcPr>
          <w:p w14:paraId="4DC7B5C3" w14:textId="77777777" w:rsidR="00C63109" w:rsidRPr="003D2B87" w:rsidRDefault="00C63109" w:rsidP="0058442B">
            <w:pPr>
              <w:jc w:val="center"/>
              <w:rPr>
                <w:rFonts w:ascii="Arial" w:hAnsi="Arial" w:cs="Arial"/>
              </w:rPr>
            </w:pPr>
            <w:r w:rsidRPr="003D2B87">
              <w:rPr>
                <w:rFonts w:ascii="Arial" w:hAnsi="Arial" w:cs="Arial"/>
              </w:rPr>
              <w:t>67,600</w:t>
            </w:r>
          </w:p>
        </w:tc>
      </w:tr>
    </w:tbl>
    <w:p w14:paraId="45B789D0" w14:textId="77777777" w:rsidR="00C63109" w:rsidRPr="003D2B87" w:rsidRDefault="00C63109" w:rsidP="00AA4070">
      <w:pPr>
        <w:rPr>
          <w:rFonts w:ascii="Arial" w:hAnsi="Arial" w:cs="Arial"/>
          <w:sz w:val="24"/>
          <w:szCs w:val="24"/>
        </w:rPr>
      </w:pPr>
    </w:p>
    <w:p w14:paraId="2D2ED4BF" w14:textId="77777777" w:rsidR="005C3488" w:rsidRPr="003D2B87" w:rsidRDefault="005C3488" w:rsidP="005C3488">
      <w:pPr>
        <w:rPr>
          <w:rFonts w:ascii="Arial" w:hAnsi="Arial" w:cs="Arial"/>
          <w:sz w:val="24"/>
          <w:szCs w:val="24"/>
        </w:rPr>
      </w:pPr>
      <w:r w:rsidRPr="003D2B87">
        <w:rPr>
          <w:rFonts w:ascii="Arial" w:hAnsi="Arial" w:cs="Arial"/>
          <w:sz w:val="24"/>
          <w:szCs w:val="24"/>
        </w:rPr>
        <w:t>The DfE have announced in their ‘Schools Revenue Funding 2020 to 2021 Operational Guide’ that the following changes will be made to the 2020/21 National Funding Formula:</w:t>
      </w:r>
    </w:p>
    <w:p w14:paraId="78A45CB4" w14:textId="77777777" w:rsidR="005C3488" w:rsidRPr="003D2B87" w:rsidRDefault="005C3488" w:rsidP="005C3488">
      <w:pPr>
        <w:pStyle w:val="ListParagraph"/>
        <w:numPr>
          <w:ilvl w:val="0"/>
          <w:numId w:val="3"/>
        </w:numPr>
        <w:rPr>
          <w:rFonts w:ascii="Arial" w:hAnsi="Arial" w:cs="Arial"/>
          <w:sz w:val="24"/>
          <w:szCs w:val="24"/>
        </w:rPr>
      </w:pPr>
      <w:r w:rsidRPr="003D2B87">
        <w:rPr>
          <w:rFonts w:ascii="Arial" w:hAnsi="Arial" w:cs="Arial"/>
          <w:sz w:val="24"/>
          <w:szCs w:val="24"/>
        </w:rPr>
        <w:t>New factor financial values and technical changes attached to the National Funding Formula individual funding factors, as shown in the above table.</w:t>
      </w:r>
    </w:p>
    <w:p w14:paraId="548563DE" w14:textId="77777777" w:rsidR="005C3488" w:rsidRPr="003D2B87" w:rsidRDefault="005C3488" w:rsidP="005C3488">
      <w:pPr>
        <w:pStyle w:val="ListParagraph"/>
        <w:numPr>
          <w:ilvl w:val="0"/>
          <w:numId w:val="3"/>
        </w:numPr>
        <w:rPr>
          <w:rFonts w:ascii="Arial" w:hAnsi="Arial" w:cs="Arial"/>
          <w:sz w:val="24"/>
          <w:szCs w:val="24"/>
        </w:rPr>
      </w:pPr>
      <w:r w:rsidRPr="003D2B87">
        <w:rPr>
          <w:rFonts w:ascii="Arial" w:hAnsi="Arial" w:cs="Arial"/>
          <w:sz w:val="24"/>
          <w:szCs w:val="24"/>
        </w:rPr>
        <w:lastRenderedPageBreak/>
        <w:t>Minimum per-pupil levels of £3,750 for primary schools and £5,000 for secondary schools.  The DfE intend to make the new minimum per-pupil funding levels a mandatory factor in the local formula (we already implement this in Norfolk).</w:t>
      </w:r>
    </w:p>
    <w:p w14:paraId="1C552CDE" w14:textId="77777777" w:rsidR="005C3488" w:rsidRPr="003D2B87" w:rsidRDefault="005C3488" w:rsidP="005C3488">
      <w:pPr>
        <w:pStyle w:val="ListParagraph"/>
        <w:numPr>
          <w:ilvl w:val="0"/>
          <w:numId w:val="3"/>
        </w:numPr>
        <w:rPr>
          <w:rFonts w:ascii="Arial" w:hAnsi="Arial" w:cs="Arial"/>
          <w:sz w:val="24"/>
          <w:szCs w:val="24"/>
        </w:rPr>
      </w:pPr>
      <w:r w:rsidRPr="003D2B87">
        <w:rPr>
          <w:rFonts w:ascii="Arial" w:hAnsi="Arial" w:cs="Arial"/>
          <w:sz w:val="24"/>
          <w:szCs w:val="24"/>
        </w:rPr>
        <w:t xml:space="preserve">The funding paid to the Local Authority will be set at + 1.84% to protect pupil-led funding in real terms. </w:t>
      </w:r>
    </w:p>
    <w:p w14:paraId="0AA705BC" w14:textId="77777777" w:rsidR="005C3488" w:rsidRPr="003D2B87" w:rsidRDefault="005C3488" w:rsidP="005C3488">
      <w:pPr>
        <w:pStyle w:val="ListParagraph"/>
        <w:numPr>
          <w:ilvl w:val="0"/>
          <w:numId w:val="3"/>
        </w:numPr>
        <w:rPr>
          <w:rFonts w:ascii="Arial" w:hAnsi="Arial" w:cs="Arial"/>
          <w:sz w:val="24"/>
          <w:szCs w:val="24"/>
        </w:rPr>
      </w:pPr>
      <w:r w:rsidRPr="003D2B87">
        <w:rPr>
          <w:rFonts w:ascii="Arial" w:hAnsi="Arial" w:cs="Arial"/>
          <w:sz w:val="24"/>
          <w:szCs w:val="24"/>
        </w:rPr>
        <w:t>The remaining funding factors paid to the Local Authority will benefit from an increase of 4% with the exceptions of free school meals factor, which will be increased at inflation, and premises funding which will be allocated at local authority level based on actual spend in 2019/20 plus RPIX.</w:t>
      </w:r>
    </w:p>
    <w:p w14:paraId="4493C2E8" w14:textId="77777777" w:rsidR="005C3488" w:rsidRPr="003D2B87" w:rsidRDefault="005C3488" w:rsidP="005C3488">
      <w:pPr>
        <w:pStyle w:val="ListParagraph"/>
        <w:numPr>
          <w:ilvl w:val="0"/>
          <w:numId w:val="3"/>
        </w:numPr>
        <w:rPr>
          <w:rFonts w:ascii="Arial" w:hAnsi="Arial" w:cs="Arial"/>
          <w:sz w:val="24"/>
          <w:szCs w:val="24"/>
        </w:rPr>
      </w:pPr>
      <w:r w:rsidRPr="003D2B87">
        <w:rPr>
          <w:rFonts w:ascii="Arial" w:hAnsi="Arial" w:cs="Arial"/>
          <w:sz w:val="24"/>
          <w:szCs w:val="24"/>
        </w:rPr>
        <w:t>Local authorities will have the freedom to set the Minimum Funding Guarantee in the local formulae between +0.5% and +1.84% per pupil, as well as to use a gains cap.</w:t>
      </w:r>
    </w:p>
    <w:p w14:paraId="73A90E4D" w14:textId="77777777" w:rsidR="005C3488" w:rsidRPr="003D2B87" w:rsidRDefault="005C3488" w:rsidP="005C3488">
      <w:pPr>
        <w:rPr>
          <w:rFonts w:ascii="Arial" w:hAnsi="Arial" w:cs="Arial"/>
          <w:sz w:val="24"/>
          <w:szCs w:val="24"/>
        </w:rPr>
      </w:pPr>
      <w:r w:rsidRPr="003D2B87">
        <w:rPr>
          <w:rFonts w:ascii="Arial" w:hAnsi="Arial" w:cs="Arial"/>
          <w:sz w:val="24"/>
          <w:szCs w:val="24"/>
        </w:rPr>
        <w:t>The consultation technical paper modelling shared with schools was based on data from the October 2018 census (including any adjustments that were funded as estimates for September 2019 in the 2019/20 budget share) and did not take any further pupil growth into account.  Final formula allocations to schools will change with October 2019 census pupil numbers.</w:t>
      </w:r>
    </w:p>
    <w:p w14:paraId="37969FE0" w14:textId="77777777" w:rsidR="005C3488" w:rsidRPr="003D2B87" w:rsidRDefault="005C3488" w:rsidP="005C3488">
      <w:pPr>
        <w:rPr>
          <w:rFonts w:ascii="Arial" w:hAnsi="Arial" w:cs="Arial"/>
          <w:sz w:val="24"/>
          <w:szCs w:val="24"/>
        </w:rPr>
      </w:pPr>
      <w:r w:rsidRPr="003D2B87">
        <w:rPr>
          <w:rFonts w:ascii="Arial" w:hAnsi="Arial" w:cs="Arial"/>
          <w:sz w:val="24"/>
          <w:szCs w:val="24"/>
        </w:rPr>
        <w:t>The illustrative NFF figures provided</w:t>
      </w:r>
      <w:r w:rsidR="00280A5C" w:rsidRPr="003D2B87">
        <w:rPr>
          <w:rFonts w:ascii="Arial" w:hAnsi="Arial" w:cs="Arial"/>
          <w:sz w:val="24"/>
          <w:szCs w:val="24"/>
        </w:rPr>
        <w:t xml:space="preserve"> by the DFE </w:t>
      </w:r>
      <w:r w:rsidRPr="003D2B87">
        <w:rPr>
          <w:rFonts w:ascii="Arial" w:hAnsi="Arial" w:cs="Arial"/>
          <w:sz w:val="24"/>
          <w:szCs w:val="24"/>
        </w:rPr>
        <w:t>to schools</w:t>
      </w:r>
      <w:r w:rsidR="00280A5C" w:rsidRPr="003D2B87">
        <w:rPr>
          <w:rFonts w:ascii="Arial" w:hAnsi="Arial" w:cs="Arial"/>
          <w:sz w:val="24"/>
          <w:szCs w:val="24"/>
        </w:rPr>
        <w:t xml:space="preserve"> in October 2019</w:t>
      </w:r>
      <w:r w:rsidRPr="003D2B87">
        <w:rPr>
          <w:rFonts w:ascii="Arial" w:hAnsi="Arial" w:cs="Arial"/>
          <w:sz w:val="24"/>
          <w:szCs w:val="24"/>
        </w:rPr>
        <w:t xml:space="preserve"> differed from the </w:t>
      </w:r>
      <w:r w:rsidR="00280A5C" w:rsidRPr="003D2B87">
        <w:rPr>
          <w:rFonts w:ascii="Arial" w:hAnsi="Arial" w:cs="Arial"/>
          <w:sz w:val="24"/>
          <w:szCs w:val="24"/>
        </w:rPr>
        <w:t xml:space="preserve">LA consultation </w:t>
      </w:r>
      <w:r w:rsidRPr="003D2B87">
        <w:rPr>
          <w:rFonts w:ascii="Arial" w:hAnsi="Arial" w:cs="Arial"/>
          <w:sz w:val="24"/>
          <w:szCs w:val="24"/>
        </w:rPr>
        <w:t xml:space="preserve">modelling </w:t>
      </w:r>
      <w:r w:rsidR="00280A5C" w:rsidRPr="003D2B87">
        <w:rPr>
          <w:rFonts w:ascii="Arial" w:hAnsi="Arial" w:cs="Arial"/>
          <w:sz w:val="24"/>
          <w:szCs w:val="24"/>
        </w:rPr>
        <w:t>for a number of reasons;</w:t>
      </w:r>
    </w:p>
    <w:p w14:paraId="2880309D" w14:textId="77777777" w:rsidR="005C3488" w:rsidRPr="003D2B87" w:rsidRDefault="005C3488" w:rsidP="005C3488">
      <w:pPr>
        <w:pStyle w:val="ListParagraph"/>
        <w:numPr>
          <w:ilvl w:val="0"/>
          <w:numId w:val="4"/>
        </w:numPr>
        <w:spacing w:after="0" w:line="240" w:lineRule="auto"/>
        <w:contextualSpacing w:val="0"/>
        <w:rPr>
          <w:rFonts w:ascii="Arial" w:eastAsia="Times New Roman" w:hAnsi="Arial" w:cs="Arial"/>
          <w:sz w:val="24"/>
          <w:szCs w:val="24"/>
        </w:rPr>
      </w:pPr>
      <w:r w:rsidRPr="003D2B87">
        <w:rPr>
          <w:rFonts w:ascii="Arial" w:eastAsia="Times New Roman" w:hAnsi="Arial" w:cs="Arial"/>
          <w:sz w:val="24"/>
          <w:szCs w:val="24"/>
        </w:rPr>
        <w:t>The DfE uses General Annual Grant (GAG) data for the 2019/20 baseline of some academies, instead of the data submitted within the 2019/20 APT by the Local Authority;</w:t>
      </w:r>
    </w:p>
    <w:p w14:paraId="58D5C183" w14:textId="77777777" w:rsidR="005C3488" w:rsidRPr="003D2B87" w:rsidRDefault="005C3488" w:rsidP="005C3488">
      <w:pPr>
        <w:pStyle w:val="ListParagraph"/>
        <w:numPr>
          <w:ilvl w:val="0"/>
          <w:numId w:val="4"/>
        </w:numPr>
        <w:spacing w:after="0" w:line="240" w:lineRule="auto"/>
        <w:contextualSpacing w:val="0"/>
        <w:rPr>
          <w:rFonts w:ascii="Arial" w:eastAsia="Times New Roman" w:hAnsi="Arial" w:cs="Arial"/>
          <w:sz w:val="24"/>
          <w:szCs w:val="24"/>
        </w:rPr>
      </w:pPr>
      <w:r w:rsidRPr="003D2B87">
        <w:rPr>
          <w:rFonts w:ascii="Arial" w:eastAsia="Times New Roman" w:hAnsi="Arial" w:cs="Arial"/>
          <w:sz w:val="24"/>
          <w:szCs w:val="24"/>
        </w:rPr>
        <w:t>There may be historical baseline differences between the DfE’s NFF calculation and the Local Authority’s actual baselines due to the use of GAG data instead of APT data;</w:t>
      </w:r>
    </w:p>
    <w:p w14:paraId="1B6DAD90" w14:textId="77777777" w:rsidR="005C3488" w:rsidRPr="003D2B87" w:rsidRDefault="005C3488" w:rsidP="005C3488">
      <w:pPr>
        <w:pStyle w:val="ListParagraph"/>
        <w:numPr>
          <w:ilvl w:val="0"/>
          <w:numId w:val="4"/>
        </w:numPr>
        <w:spacing w:after="0" w:line="240" w:lineRule="auto"/>
        <w:contextualSpacing w:val="0"/>
        <w:rPr>
          <w:rFonts w:ascii="Arial" w:eastAsia="Times New Roman" w:hAnsi="Arial" w:cs="Arial"/>
          <w:sz w:val="24"/>
          <w:szCs w:val="24"/>
        </w:rPr>
      </w:pPr>
      <w:r w:rsidRPr="003D2B87">
        <w:rPr>
          <w:rFonts w:ascii="Arial" w:eastAsia="Times New Roman" w:hAnsi="Arial" w:cs="Arial"/>
          <w:sz w:val="24"/>
          <w:szCs w:val="24"/>
        </w:rPr>
        <w:t>Local MFG and capping arrangements in previous years and within the 2020/21 proposals will differ to those used in NFF illustrative allocations;</w:t>
      </w:r>
    </w:p>
    <w:p w14:paraId="59A82129" w14:textId="77777777" w:rsidR="005C3488" w:rsidRPr="003D2B87" w:rsidRDefault="005C3488" w:rsidP="005C3488">
      <w:pPr>
        <w:pStyle w:val="ListParagraph"/>
        <w:numPr>
          <w:ilvl w:val="0"/>
          <w:numId w:val="4"/>
        </w:numPr>
        <w:spacing w:after="0" w:line="240" w:lineRule="auto"/>
        <w:contextualSpacing w:val="0"/>
        <w:rPr>
          <w:rFonts w:ascii="Arial" w:eastAsia="Times New Roman" w:hAnsi="Arial" w:cs="Arial"/>
          <w:sz w:val="24"/>
          <w:szCs w:val="24"/>
        </w:rPr>
      </w:pPr>
      <w:r w:rsidRPr="003D2B87">
        <w:rPr>
          <w:rFonts w:ascii="Arial" w:eastAsia="Times New Roman" w:hAnsi="Arial" w:cs="Arial"/>
          <w:sz w:val="24"/>
          <w:szCs w:val="24"/>
        </w:rPr>
        <w:t>There may be differences in estimated Rates funding between DfE illustrative allocations and Local Authority calculations for some schools (the LA has used the initial 2019/20 Rates allocation figures);</w:t>
      </w:r>
    </w:p>
    <w:p w14:paraId="220D1669" w14:textId="77777777" w:rsidR="005C3488" w:rsidRPr="003D2B87" w:rsidRDefault="005C3488" w:rsidP="005C3488">
      <w:pPr>
        <w:pStyle w:val="ListParagraph"/>
        <w:numPr>
          <w:ilvl w:val="0"/>
          <w:numId w:val="4"/>
        </w:numPr>
        <w:spacing w:after="0" w:line="240" w:lineRule="auto"/>
        <w:contextualSpacing w:val="0"/>
        <w:rPr>
          <w:rFonts w:ascii="Arial" w:eastAsia="Times New Roman" w:hAnsi="Arial" w:cs="Arial"/>
          <w:sz w:val="24"/>
          <w:szCs w:val="24"/>
        </w:rPr>
      </w:pPr>
      <w:r w:rsidRPr="003D2B87">
        <w:rPr>
          <w:rFonts w:ascii="Arial" w:eastAsia="Times New Roman" w:hAnsi="Arial" w:cs="Arial"/>
          <w:sz w:val="24"/>
          <w:szCs w:val="24"/>
        </w:rPr>
        <w:t>Transfers of funding agreed between Schools Block and High Needs Block in previous years, which will have affected overall funding levels of the baselines;</w:t>
      </w:r>
    </w:p>
    <w:p w14:paraId="6B217EED" w14:textId="77777777" w:rsidR="005C3488" w:rsidRPr="003D2B87" w:rsidRDefault="005C3488" w:rsidP="005C3488">
      <w:pPr>
        <w:pStyle w:val="ListParagraph"/>
        <w:numPr>
          <w:ilvl w:val="0"/>
          <w:numId w:val="4"/>
        </w:numPr>
        <w:spacing w:after="0" w:line="240" w:lineRule="auto"/>
        <w:contextualSpacing w:val="0"/>
        <w:rPr>
          <w:rFonts w:ascii="Arial" w:eastAsia="Times New Roman" w:hAnsi="Arial" w:cs="Arial"/>
          <w:sz w:val="24"/>
          <w:szCs w:val="24"/>
        </w:rPr>
      </w:pPr>
      <w:r w:rsidRPr="003D2B87">
        <w:rPr>
          <w:rFonts w:ascii="Arial" w:eastAsia="Times New Roman" w:hAnsi="Arial" w:cs="Arial"/>
          <w:sz w:val="24"/>
          <w:szCs w:val="24"/>
        </w:rPr>
        <w:t>Proposed transfers of funding between Schools Block and High Needs Block in 2020/21 which affect the level of funding available to distribute.</w:t>
      </w:r>
    </w:p>
    <w:p w14:paraId="7F0F408E" w14:textId="77777777" w:rsidR="008B2F7E" w:rsidRPr="003D2B87" w:rsidRDefault="008B2F7E" w:rsidP="008B2F7E">
      <w:pPr>
        <w:spacing w:after="0" w:line="240" w:lineRule="auto"/>
        <w:rPr>
          <w:rFonts w:ascii="Arial" w:eastAsia="Times New Roman" w:hAnsi="Arial" w:cs="Arial"/>
          <w:sz w:val="24"/>
          <w:szCs w:val="24"/>
        </w:rPr>
      </w:pPr>
    </w:p>
    <w:p w14:paraId="072C8E89" w14:textId="77777777" w:rsidR="008B2F7E" w:rsidRPr="003D2B87" w:rsidRDefault="008B2F7E" w:rsidP="008B2F7E">
      <w:pPr>
        <w:rPr>
          <w:rFonts w:ascii="Arial" w:hAnsi="Arial" w:cs="Arial"/>
          <w:sz w:val="24"/>
          <w:szCs w:val="24"/>
        </w:rPr>
      </w:pPr>
      <w:r w:rsidRPr="003D2B87">
        <w:rPr>
          <w:rFonts w:ascii="Arial" w:hAnsi="Arial" w:cs="Arial"/>
          <w:sz w:val="24"/>
          <w:szCs w:val="24"/>
        </w:rPr>
        <w:t>Norfolk proposes to continue moving schools towards full implementation of the DfE’s National Funding Formula unit values, using a Minimum Funding Guarantee of +1.84% and a Cap</w:t>
      </w:r>
      <w:r w:rsidR="00D12A4A" w:rsidRPr="003D2B87">
        <w:rPr>
          <w:rFonts w:ascii="Arial" w:hAnsi="Arial" w:cs="Arial"/>
          <w:sz w:val="24"/>
          <w:szCs w:val="24"/>
        </w:rPr>
        <w:t>.</w:t>
      </w:r>
    </w:p>
    <w:p w14:paraId="5364D67D" w14:textId="77777777" w:rsidR="0058442B" w:rsidRPr="003D2B87" w:rsidRDefault="0058442B" w:rsidP="008B2F7E">
      <w:pPr>
        <w:rPr>
          <w:rFonts w:ascii="Arial" w:hAnsi="Arial" w:cs="Arial"/>
          <w:sz w:val="24"/>
          <w:szCs w:val="24"/>
        </w:rPr>
      </w:pPr>
    </w:p>
    <w:p w14:paraId="5E856681" w14:textId="77777777" w:rsidR="002268CA" w:rsidRPr="003D2B87" w:rsidRDefault="002268CA">
      <w:pPr>
        <w:rPr>
          <w:rFonts w:ascii="Arial" w:hAnsi="Arial" w:cs="Arial"/>
          <w:b/>
          <w:sz w:val="24"/>
          <w:szCs w:val="24"/>
        </w:rPr>
      </w:pPr>
      <w:r w:rsidRPr="003D2B87">
        <w:rPr>
          <w:rFonts w:ascii="Arial" w:hAnsi="Arial" w:cs="Arial"/>
          <w:b/>
          <w:sz w:val="24"/>
          <w:szCs w:val="24"/>
        </w:rPr>
        <w:br w:type="page"/>
      </w:r>
    </w:p>
    <w:p w14:paraId="3EBA4EAF" w14:textId="77777777" w:rsidR="0058442B" w:rsidRPr="003D2B87" w:rsidRDefault="0058442B" w:rsidP="000853FC">
      <w:pPr>
        <w:rPr>
          <w:rFonts w:ascii="Arial" w:hAnsi="Arial" w:cs="Arial"/>
          <w:b/>
          <w:sz w:val="24"/>
          <w:szCs w:val="24"/>
        </w:rPr>
      </w:pPr>
      <w:r w:rsidRPr="003D2B87">
        <w:rPr>
          <w:rFonts w:ascii="Arial" w:hAnsi="Arial" w:cs="Arial"/>
          <w:b/>
          <w:sz w:val="24"/>
          <w:szCs w:val="24"/>
        </w:rPr>
        <w:lastRenderedPageBreak/>
        <w:t>Dedicated Schools Grant (DSG) Recovery Plan Update</w:t>
      </w:r>
    </w:p>
    <w:p w14:paraId="0C697807" w14:textId="77777777" w:rsidR="009952BB" w:rsidRPr="003D2B87" w:rsidRDefault="009952BB" w:rsidP="009952BB">
      <w:pPr>
        <w:rPr>
          <w:rFonts w:ascii="Arial" w:hAnsi="Arial" w:cs="Arial"/>
          <w:b/>
          <w:sz w:val="24"/>
          <w:szCs w:val="24"/>
        </w:rPr>
      </w:pPr>
    </w:p>
    <w:p w14:paraId="452E5FF6" w14:textId="77777777" w:rsidR="009952BB" w:rsidRPr="003D2B87" w:rsidRDefault="009952BB" w:rsidP="009952BB">
      <w:pPr>
        <w:ind w:left="360"/>
        <w:rPr>
          <w:rFonts w:ascii="Arial" w:hAnsi="Arial" w:cs="Arial"/>
          <w:sz w:val="24"/>
          <w:szCs w:val="24"/>
        </w:rPr>
      </w:pPr>
      <w:r w:rsidRPr="003D2B87">
        <w:rPr>
          <w:rFonts w:ascii="Arial" w:hAnsi="Arial" w:cs="Arial"/>
          <w:sz w:val="24"/>
          <w:szCs w:val="24"/>
        </w:rPr>
        <w:t>On the 11</w:t>
      </w:r>
      <w:r w:rsidRPr="003D2B87">
        <w:rPr>
          <w:rFonts w:ascii="Arial" w:hAnsi="Arial" w:cs="Arial"/>
          <w:sz w:val="24"/>
          <w:szCs w:val="24"/>
          <w:vertAlign w:val="superscript"/>
        </w:rPr>
        <w:t>th</w:t>
      </w:r>
      <w:r w:rsidRPr="003D2B87">
        <w:rPr>
          <w:rFonts w:ascii="Arial" w:hAnsi="Arial" w:cs="Arial"/>
          <w:sz w:val="24"/>
          <w:szCs w:val="24"/>
        </w:rPr>
        <w:t xml:space="preserve"> October the DFE launched a consultation on changing the conditions of grant and regulations applying to the Dedicated Schools Grant (DSG), to clarify that the DSG is a ring-fenced specific grant separate from the general funding of local authorities.</w:t>
      </w:r>
    </w:p>
    <w:tbl>
      <w:tblPr>
        <w:tblpPr w:leftFromText="180" w:rightFromText="180" w:vertAnchor="text" w:horzAnchor="margin" w:tblpXSpec="center" w:tblpY="531"/>
        <w:tblW w:w="10660" w:type="dxa"/>
        <w:tblLook w:val="04A0" w:firstRow="1" w:lastRow="0" w:firstColumn="1" w:lastColumn="0" w:noHBand="0" w:noVBand="1"/>
      </w:tblPr>
      <w:tblGrid>
        <w:gridCol w:w="4120"/>
        <w:gridCol w:w="1084"/>
        <w:gridCol w:w="1084"/>
        <w:gridCol w:w="1084"/>
        <w:gridCol w:w="1084"/>
        <w:gridCol w:w="1084"/>
        <w:gridCol w:w="1120"/>
      </w:tblGrid>
      <w:tr w:rsidR="00786A5F" w:rsidRPr="003D2B87" w14:paraId="7A3804DA" w14:textId="77777777" w:rsidTr="00786A5F">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262626"/>
            <w:noWrap/>
            <w:vAlign w:val="bottom"/>
            <w:hideMark/>
          </w:tcPr>
          <w:p w14:paraId="17269620" w14:textId="77777777" w:rsidR="00786A5F" w:rsidRPr="003D2B87" w:rsidRDefault="00786A5F" w:rsidP="00786A5F">
            <w:pPr>
              <w:rPr>
                <w:rFonts w:ascii="Arial" w:hAnsi="Arial" w:cs="Arial"/>
                <w:b/>
                <w:color w:val="FFFFFF"/>
                <w:szCs w:val="20"/>
                <w:lang w:eastAsia="en-GB"/>
              </w:rPr>
            </w:pPr>
            <w:r w:rsidRPr="003D2B87">
              <w:rPr>
                <w:rFonts w:ascii="Arial" w:hAnsi="Arial" w:cs="Arial"/>
                <w:b/>
                <w:color w:val="FFFFFF"/>
                <w:szCs w:val="20"/>
                <w:lang w:eastAsia="en-GB"/>
              </w:rPr>
              <w:t> </w:t>
            </w:r>
          </w:p>
        </w:tc>
        <w:tc>
          <w:tcPr>
            <w:tcW w:w="1084" w:type="dxa"/>
            <w:tcBorders>
              <w:top w:val="single" w:sz="4" w:space="0" w:color="auto"/>
              <w:left w:val="nil"/>
              <w:bottom w:val="single" w:sz="4" w:space="0" w:color="auto"/>
              <w:right w:val="single" w:sz="4" w:space="0" w:color="auto"/>
            </w:tcBorders>
            <w:shd w:val="clear" w:color="auto" w:fill="262626"/>
            <w:noWrap/>
            <w:vAlign w:val="bottom"/>
            <w:hideMark/>
          </w:tcPr>
          <w:p w14:paraId="3E5A0F15" w14:textId="77777777" w:rsidR="00786A5F" w:rsidRPr="003D2B87" w:rsidRDefault="00786A5F" w:rsidP="00786A5F">
            <w:pPr>
              <w:jc w:val="center"/>
              <w:rPr>
                <w:rFonts w:ascii="Arial" w:hAnsi="Arial" w:cs="Arial"/>
                <w:b/>
                <w:color w:val="FFFFFF"/>
                <w:szCs w:val="20"/>
                <w:lang w:eastAsia="en-GB"/>
              </w:rPr>
            </w:pPr>
            <w:r w:rsidRPr="003D2B87">
              <w:rPr>
                <w:rFonts w:ascii="Arial" w:hAnsi="Arial" w:cs="Arial"/>
                <w:b/>
                <w:color w:val="FFFFFF"/>
                <w:szCs w:val="20"/>
                <w:lang w:eastAsia="en-GB"/>
              </w:rPr>
              <w:t>2018/19</w:t>
            </w:r>
          </w:p>
        </w:tc>
        <w:tc>
          <w:tcPr>
            <w:tcW w:w="1084" w:type="dxa"/>
            <w:tcBorders>
              <w:top w:val="single" w:sz="4" w:space="0" w:color="auto"/>
              <w:left w:val="nil"/>
              <w:bottom w:val="single" w:sz="4" w:space="0" w:color="auto"/>
              <w:right w:val="single" w:sz="4" w:space="0" w:color="auto"/>
            </w:tcBorders>
            <w:shd w:val="clear" w:color="auto" w:fill="262626"/>
            <w:noWrap/>
            <w:vAlign w:val="bottom"/>
            <w:hideMark/>
          </w:tcPr>
          <w:p w14:paraId="20018115" w14:textId="77777777" w:rsidR="00786A5F" w:rsidRPr="003D2B87" w:rsidRDefault="00786A5F" w:rsidP="00786A5F">
            <w:pPr>
              <w:jc w:val="center"/>
              <w:rPr>
                <w:rFonts w:ascii="Arial" w:hAnsi="Arial" w:cs="Arial"/>
                <w:b/>
                <w:color w:val="FFFFFF"/>
                <w:szCs w:val="20"/>
                <w:lang w:eastAsia="en-GB"/>
              </w:rPr>
            </w:pPr>
            <w:r w:rsidRPr="003D2B87">
              <w:rPr>
                <w:rFonts w:ascii="Arial" w:hAnsi="Arial" w:cs="Arial"/>
                <w:b/>
                <w:color w:val="FFFFFF"/>
                <w:szCs w:val="20"/>
                <w:lang w:eastAsia="en-GB"/>
              </w:rPr>
              <w:t>2019/20</w:t>
            </w:r>
          </w:p>
        </w:tc>
        <w:tc>
          <w:tcPr>
            <w:tcW w:w="1084" w:type="dxa"/>
            <w:tcBorders>
              <w:top w:val="single" w:sz="4" w:space="0" w:color="auto"/>
              <w:left w:val="nil"/>
              <w:bottom w:val="single" w:sz="4" w:space="0" w:color="auto"/>
              <w:right w:val="single" w:sz="4" w:space="0" w:color="auto"/>
            </w:tcBorders>
            <w:shd w:val="clear" w:color="auto" w:fill="262626"/>
            <w:noWrap/>
            <w:vAlign w:val="bottom"/>
            <w:hideMark/>
          </w:tcPr>
          <w:p w14:paraId="74C1BE0B" w14:textId="77777777" w:rsidR="00786A5F" w:rsidRPr="003D2B87" w:rsidRDefault="00786A5F" w:rsidP="00786A5F">
            <w:pPr>
              <w:jc w:val="center"/>
              <w:rPr>
                <w:rFonts w:ascii="Arial" w:hAnsi="Arial" w:cs="Arial"/>
                <w:b/>
                <w:color w:val="FFFFFF"/>
                <w:szCs w:val="20"/>
                <w:lang w:eastAsia="en-GB"/>
              </w:rPr>
            </w:pPr>
            <w:r w:rsidRPr="003D2B87">
              <w:rPr>
                <w:rFonts w:ascii="Arial" w:hAnsi="Arial" w:cs="Arial"/>
                <w:b/>
                <w:color w:val="FFFFFF"/>
                <w:szCs w:val="20"/>
                <w:lang w:eastAsia="en-GB"/>
              </w:rPr>
              <w:t>2020/21</w:t>
            </w:r>
          </w:p>
        </w:tc>
        <w:tc>
          <w:tcPr>
            <w:tcW w:w="1084" w:type="dxa"/>
            <w:tcBorders>
              <w:top w:val="single" w:sz="4" w:space="0" w:color="auto"/>
              <w:left w:val="nil"/>
              <w:bottom w:val="single" w:sz="4" w:space="0" w:color="auto"/>
              <w:right w:val="single" w:sz="4" w:space="0" w:color="auto"/>
            </w:tcBorders>
            <w:shd w:val="clear" w:color="auto" w:fill="262626"/>
            <w:noWrap/>
            <w:vAlign w:val="bottom"/>
            <w:hideMark/>
          </w:tcPr>
          <w:p w14:paraId="47A4ADC6" w14:textId="77777777" w:rsidR="00786A5F" w:rsidRPr="003D2B87" w:rsidRDefault="00786A5F" w:rsidP="00786A5F">
            <w:pPr>
              <w:jc w:val="center"/>
              <w:rPr>
                <w:rFonts w:ascii="Arial" w:hAnsi="Arial" w:cs="Arial"/>
                <w:b/>
                <w:color w:val="FFFFFF"/>
                <w:szCs w:val="20"/>
                <w:lang w:eastAsia="en-GB"/>
              </w:rPr>
            </w:pPr>
            <w:r w:rsidRPr="003D2B87">
              <w:rPr>
                <w:rFonts w:ascii="Arial" w:hAnsi="Arial" w:cs="Arial"/>
                <w:b/>
                <w:color w:val="FFFFFF"/>
                <w:szCs w:val="20"/>
                <w:lang w:eastAsia="en-GB"/>
              </w:rPr>
              <w:t>2021/22</w:t>
            </w:r>
          </w:p>
        </w:tc>
        <w:tc>
          <w:tcPr>
            <w:tcW w:w="1084" w:type="dxa"/>
            <w:tcBorders>
              <w:top w:val="single" w:sz="4" w:space="0" w:color="auto"/>
              <w:left w:val="nil"/>
              <w:bottom w:val="single" w:sz="4" w:space="0" w:color="auto"/>
              <w:right w:val="single" w:sz="4" w:space="0" w:color="auto"/>
            </w:tcBorders>
            <w:shd w:val="clear" w:color="auto" w:fill="262626"/>
            <w:noWrap/>
            <w:vAlign w:val="bottom"/>
            <w:hideMark/>
          </w:tcPr>
          <w:p w14:paraId="13AB4F7D" w14:textId="77777777" w:rsidR="00786A5F" w:rsidRPr="003D2B87" w:rsidRDefault="00786A5F" w:rsidP="00786A5F">
            <w:pPr>
              <w:jc w:val="center"/>
              <w:rPr>
                <w:rFonts w:ascii="Arial" w:hAnsi="Arial" w:cs="Arial"/>
                <w:b/>
                <w:color w:val="FFFFFF"/>
                <w:szCs w:val="20"/>
                <w:lang w:eastAsia="en-GB"/>
              </w:rPr>
            </w:pPr>
            <w:r w:rsidRPr="003D2B87">
              <w:rPr>
                <w:rFonts w:ascii="Arial" w:hAnsi="Arial" w:cs="Arial"/>
                <w:b/>
                <w:color w:val="FFFFFF"/>
                <w:szCs w:val="20"/>
                <w:lang w:eastAsia="en-GB"/>
              </w:rPr>
              <w:t>2022/23</w:t>
            </w:r>
          </w:p>
        </w:tc>
        <w:tc>
          <w:tcPr>
            <w:tcW w:w="1120" w:type="dxa"/>
            <w:tcBorders>
              <w:top w:val="single" w:sz="4" w:space="0" w:color="auto"/>
              <w:left w:val="nil"/>
              <w:bottom w:val="single" w:sz="4" w:space="0" w:color="auto"/>
              <w:right w:val="single" w:sz="4" w:space="0" w:color="auto"/>
            </w:tcBorders>
            <w:shd w:val="clear" w:color="auto" w:fill="262626"/>
            <w:noWrap/>
            <w:vAlign w:val="bottom"/>
            <w:hideMark/>
          </w:tcPr>
          <w:p w14:paraId="2E15179F" w14:textId="77777777" w:rsidR="00786A5F" w:rsidRPr="003D2B87" w:rsidRDefault="00786A5F" w:rsidP="00786A5F">
            <w:pPr>
              <w:jc w:val="center"/>
              <w:rPr>
                <w:rFonts w:ascii="Arial" w:hAnsi="Arial" w:cs="Arial"/>
                <w:b/>
                <w:color w:val="FFFFFF"/>
                <w:szCs w:val="20"/>
                <w:lang w:eastAsia="en-GB"/>
              </w:rPr>
            </w:pPr>
            <w:r w:rsidRPr="003D2B87">
              <w:rPr>
                <w:rFonts w:ascii="Arial" w:hAnsi="Arial" w:cs="Arial"/>
                <w:b/>
                <w:color w:val="FFFFFF"/>
                <w:szCs w:val="20"/>
                <w:lang w:eastAsia="en-GB"/>
              </w:rPr>
              <w:t>2023/24</w:t>
            </w:r>
          </w:p>
        </w:tc>
      </w:tr>
      <w:tr w:rsidR="00786A5F" w:rsidRPr="003D2B87" w14:paraId="73F21B41" w14:textId="77777777" w:rsidTr="00786A5F">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F1415"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High Needs Block Allocation</w:t>
            </w:r>
          </w:p>
        </w:tc>
        <w:tc>
          <w:tcPr>
            <w:tcW w:w="1084" w:type="dxa"/>
            <w:tcBorders>
              <w:top w:val="single" w:sz="4" w:space="0" w:color="auto"/>
              <w:left w:val="nil"/>
              <w:bottom w:val="single" w:sz="4" w:space="0" w:color="auto"/>
              <w:right w:val="single" w:sz="4" w:space="0" w:color="auto"/>
            </w:tcBorders>
            <w:shd w:val="clear" w:color="auto" w:fill="A6A6A6"/>
            <w:noWrap/>
            <w:vAlign w:val="bottom"/>
          </w:tcPr>
          <w:p w14:paraId="0D525142"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80.462</w:t>
            </w:r>
          </w:p>
        </w:tc>
        <w:tc>
          <w:tcPr>
            <w:tcW w:w="1084" w:type="dxa"/>
            <w:tcBorders>
              <w:top w:val="single" w:sz="4" w:space="0" w:color="auto"/>
              <w:left w:val="nil"/>
              <w:bottom w:val="single" w:sz="4" w:space="0" w:color="auto"/>
              <w:right w:val="single" w:sz="4" w:space="0" w:color="auto"/>
            </w:tcBorders>
            <w:shd w:val="clear" w:color="auto" w:fill="auto"/>
            <w:noWrap/>
            <w:vAlign w:val="bottom"/>
          </w:tcPr>
          <w:p w14:paraId="2A040C79"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81.822</w:t>
            </w:r>
          </w:p>
        </w:tc>
        <w:tc>
          <w:tcPr>
            <w:tcW w:w="1084" w:type="dxa"/>
            <w:tcBorders>
              <w:top w:val="single" w:sz="4" w:space="0" w:color="auto"/>
              <w:left w:val="nil"/>
              <w:bottom w:val="single" w:sz="4" w:space="0" w:color="auto"/>
              <w:right w:val="single" w:sz="4" w:space="0" w:color="auto"/>
            </w:tcBorders>
            <w:shd w:val="clear" w:color="auto" w:fill="auto"/>
            <w:noWrap/>
            <w:vAlign w:val="bottom"/>
          </w:tcPr>
          <w:p w14:paraId="785F39F9"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81.839</w:t>
            </w:r>
          </w:p>
        </w:tc>
        <w:tc>
          <w:tcPr>
            <w:tcW w:w="1084" w:type="dxa"/>
            <w:tcBorders>
              <w:top w:val="single" w:sz="4" w:space="0" w:color="auto"/>
              <w:left w:val="nil"/>
              <w:bottom w:val="single" w:sz="4" w:space="0" w:color="auto"/>
              <w:right w:val="single" w:sz="4" w:space="0" w:color="auto"/>
            </w:tcBorders>
            <w:shd w:val="clear" w:color="auto" w:fill="auto"/>
            <w:noWrap/>
            <w:vAlign w:val="bottom"/>
          </w:tcPr>
          <w:p w14:paraId="783FF240"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82.664</w:t>
            </w:r>
          </w:p>
        </w:tc>
        <w:tc>
          <w:tcPr>
            <w:tcW w:w="1084" w:type="dxa"/>
            <w:tcBorders>
              <w:top w:val="single" w:sz="4" w:space="0" w:color="auto"/>
              <w:left w:val="nil"/>
              <w:bottom w:val="single" w:sz="4" w:space="0" w:color="auto"/>
              <w:right w:val="single" w:sz="4" w:space="0" w:color="auto"/>
            </w:tcBorders>
            <w:shd w:val="clear" w:color="auto" w:fill="auto"/>
            <w:noWrap/>
            <w:vAlign w:val="bottom"/>
          </w:tcPr>
          <w:p w14:paraId="483D7790"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83.492</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7920A1F5"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84.324</w:t>
            </w:r>
          </w:p>
        </w:tc>
      </w:tr>
      <w:tr w:rsidR="00786A5F" w:rsidRPr="003D2B87" w14:paraId="27348115" w14:textId="77777777" w:rsidTr="00786A5F">
        <w:trPr>
          <w:trHeight w:val="213"/>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2A0C7225"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0.5% Schools’ Block Transfer</w:t>
            </w:r>
          </w:p>
        </w:tc>
        <w:tc>
          <w:tcPr>
            <w:tcW w:w="1084" w:type="dxa"/>
            <w:tcBorders>
              <w:top w:val="nil"/>
              <w:left w:val="nil"/>
              <w:bottom w:val="single" w:sz="4" w:space="0" w:color="auto"/>
              <w:right w:val="single" w:sz="4" w:space="0" w:color="auto"/>
            </w:tcBorders>
            <w:shd w:val="clear" w:color="auto" w:fill="AEAAAA"/>
            <w:noWrap/>
            <w:vAlign w:val="bottom"/>
            <w:hideMark/>
          </w:tcPr>
          <w:p w14:paraId="3A83ADB7"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2.365</w:t>
            </w:r>
          </w:p>
        </w:tc>
        <w:tc>
          <w:tcPr>
            <w:tcW w:w="1084" w:type="dxa"/>
            <w:tcBorders>
              <w:top w:val="nil"/>
              <w:left w:val="nil"/>
              <w:bottom w:val="single" w:sz="4" w:space="0" w:color="auto"/>
              <w:right w:val="single" w:sz="4" w:space="0" w:color="auto"/>
            </w:tcBorders>
            <w:shd w:val="clear" w:color="auto" w:fill="auto"/>
            <w:noWrap/>
            <w:vAlign w:val="bottom"/>
            <w:hideMark/>
          </w:tcPr>
          <w:p w14:paraId="68AC08C4"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2.410</w:t>
            </w:r>
          </w:p>
        </w:tc>
        <w:tc>
          <w:tcPr>
            <w:tcW w:w="1084" w:type="dxa"/>
            <w:tcBorders>
              <w:top w:val="nil"/>
              <w:left w:val="nil"/>
              <w:bottom w:val="single" w:sz="4" w:space="0" w:color="auto"/>
              <w:right w:val="single" w:sz="4" w:space="0" w:color="auto"/>
            </w:tcBorders>
            <w:shd w:val="clear" w:color="auto" w:fill="auto"/>
            <w:noWrap/>
            <w:vAlign w:val="bottom"/>
            <w:hideMark/>
          </w:tcPr>
          <w:p w14:paraId="2AD92564"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2.434</w:t>
            </w:r>
          </w:p>
        </w:tc>
        <w:tc>
          <w:tcPr>
            <w:tcW w:w="1084" w:type="dxa"/>
            <w:tcBorders>
              <w:top w:val="nil"/>
              <w:left w:val="nil"/>
              <w:bottom w:val="single" w:sz="4" w:space="0" w:color="auto"/>
              <w:right w:val="single" w:sz="4" w:space="0" w:color="auto"/>
            </w:tcBorders>
            <w:shd w:val="clear" w:color="auto" w:fill="auto"/>
            <w:noWrap/>
            <w:vAlign w:val="bottom"/>
            <w:hideMark/>
          </w:tcPr>
          <w:p w14:paraId="677C2D2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2.459</w:t>
            </w:r>
          </w:p>
        </w:tc>
        <w:tc>
          <w:tcPr>
            <w:tcW w:w="1084" w:type="dxa"/>
            <w:tcBorders>
              <w:top w:val="nil"/>
              <w:left w:val="nil"/>
              <w:bottom w:val="single" w:sz="4" w:space="0" w:color="auto"/>
              <w:right w:val="single" w:sz="4" w:space="0" w:color="auto"/>
            </w:tcBorders>
            <w:shd w:val="clear" w:color="auto" w:fill="auto"/>
            <w:noWrap/>
            <w:vAlign w:val="bottom"/>
            <w:hideMark/>
          </w:tcPr>
          <w:p w14:paraId="21DD9B2C"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2.483</w:t>
            </w:r>
          </w:p>
        </w:tc>
        <w:tc>
          <w:tcPr>
            <w:tcW w:w="1120" w:type="dxa"/>
            <w:tcBorders>
              <w:top w:val="nil"/>
              <w:left w:val="nil"/>
              <w:bottom w:val="single" w:sz="4" w:space="0" w:color="auto"/>
              <w:right w:val="single" w:sz="4" w:space="0" w:color="auto"/>
            </w:tcBorders>
            <w:shd w:val="clear" w:color="auto" w:fill="auto"/>
            <w:noWrap/>
            <w:vAlign w:val="bottom"/>
            <w:hideMark/>
          </w:tcPr>
          <w:p w14:paraId="4D96A493"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2.508</w:t>
            </w:r>
          </w:p>
        </w:tc>
      </w:tr>
      <w:tr w:rsidR="00786A5F" w:rsidRPr="003D2B87" w14:paraId="26D8A47A"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448C8C4"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 xml:space="preserve">Additional Schools’ Block Transfer </w:t>
            </w:r>
          </w:p>
        </w:tc>
        <w:tc>
          <w:tcPr>
            <w:tcW w:w="1084" w:type="dxa"/>
            <w:tcBorders>
              <w:top w:val="nil"/>
              <w:left w:val="nil"/>
              <w:bottom w:val="single" w:sz="4" w:space="0" w:color="auto"/>
              <w:right w:val="single" w:sz="4" w:space="0" w:color="auto"/>
            </w:tcBorders>
            <w:shd w:val="clear" w:color="auto" w:fill="AEAAAA"/>
            <w:noWrap/>
            <w:vAlign w:val="bottom"/>
            <w:hideMark/>
          </w:tcPr>
          <w:p w14:paraId="174ABB48"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0.000</w:t>
            </w:r>
          </w:p>
        </w:tc>
        <w:tc>
          <w:tcPr>
            <w:tcW w:w="1084" w:type="dxa"/>
            <w:tcBorders>
              <w:top w:val="nil"/>
              <w:left w:val="nil"/>
              <w:bottom w:val="single" w:sz="4" w:space="0" w:color="auto"/>
              <w:right w:val="single" w:sz="4" w:space="0" w:color="auto"/>
            </w:tcBorders>
            <w:shd w:val="clear" w:color="auto" w:fill="auto"/>
            <w:noWrap/>
            <w:vAlign w:val="bottom"/>
            <w:hideMark/>
          </w:tcPr>
          <w:p w14:paraId="28FF75D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4.580</w:t>
            </w:r>
          </w:p>
        </w:tc>
        <w:tc>
          <w:tcPr>
            <w:tcW w:w="1084" w:type="dxa"/>
            <w:tcBorders>
              <w:top w:val="nil"/>
              <w:left w:val="nil"/>
              <w:bottom w:val="single" w:sz="4" w:space="0" w:color="auto"/>
              <w:right w:val="single" w:sz="4" w:space="0" w:color="auto"/>
            </w:tcBorders>
            <w:shd w:val="clear" w:color="auto" w:fill="auto"/>
            <w:noWrap/>
            <w:vAlign w:val="bottom"/>
            <w:hideMark/>
          </w:tcPr>
          <w:p w14:paraId="6B58E49D"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4.580</w:t>
            </w:r>
          </w:p>
        </w:tc>
        <w:tc>
          <w:tcPr>
            <w:tcW w:w="1084" w:type="dxa"/>
            <w:tcBorders>
              <w:top w:val="nil"/>
              <w:left w:val="nil"/>
              <w:bottom w:val="single" w:sz="4" w:space="0" w:color="auto"/>
              <w:right w:val="single" w:sz="4" w:space="0" w:color="auto"/>
            </w:tcBorders>
            <w:shd w:val="clear" w:color="auto" w:fill="auto"/>
            <w:noWrap/>
            <w:vAlign w:val="bottom"/>
            <w:hideMark/>
          </w:tcPr>
          <w:p w14:paraId="4C47529F"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4.580</w:t>
            </w:r>
          </w:p>
        </w:tc>
        <w:tc>
          <w:tcPr>
            <w:tcW w:w="1084" w:type="dxa"/>
            <w:tcBorders>
              <w:top w:val="nil"/>
              <w:left w:val="nil"/>
              <w:bottom w:val="single" w:sz="4" w:space="0" w:color="auto"/>
              <w:right w:val="single" w:sz="4" w:space="0" w:color="auto"/>
            </w:tcBorders>
            <w:shd w:val="clear" w:color="auto" w:fill="auto"/>
            <w:noWrap/>
            <w:vAlign w:val="bottom"/>
            <w:hideMark/>
          </w:tcPr>
          <w:p w14:paraId="673973B4"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4.580</w:t>
            </w:r>
          </w:p>
        </w:tc>
        <w:tc>
          <w:tcPr>
            <w:tcW w:w="1120" w:type="dxa"/>
            <w:tcBorders>
              <w:top w:val="nil"/>
              <w:left w:val="nil"/>
              <w:bottom w:val="single" w:sz="4" w:space="0" w:color="auto"/>
              <w:right w:val="single" w:sz="4" w:space="0" w:color="auto"/>
            </w:tcBorders>
            <w:shd w:val="clear" w:color="auto" w:fill="auto"/>
            <w:noWrap/>
            <w:vAlign w:val="bottom"/>
            <w:hideMark/>
          </w:tcPr>
          <w:p w14:paraId="2218A758"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4.580</w:t>
            </w:r>
          </w:p>
        </w:tc>
      </w:tr>
      <w:tr w:rsidR="00786A5F" w:rsidRPr="003D2B87" w14:paraId="62BE72AE"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02A9710"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NCC General Fund Contribution</w:t>
            </w:r>
          </w:p>
        </w:tc>
        <w:tc>
          <w:tcPr>
            <w:tcW w:w="1084" w:type="dxa"/>
            <w:tcBorders>
              <w:top w:val="nil"/>
              <w:left w:val="nil"/>
              <w:bottom w:val="single" w:sz="4" w:space="0" w:color="auto"/>
              <w:right w:val="single" w:sz="4" w:space="0" w:color="auto"/>
            </w:tcBorders>
            <w:shd w:val="clear" w:color="auto" w:fill="AEAAAA"/>
            <w:noWrap/>
            <w:vAlign w:val="bottom"/>
            <w:hideMark/>
          </w:tcPr>
          <w:p w14:paraId="5CF22A3C"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514B2F70"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2.000</w:t>
            </w:r>
          </w:p>
        </w:tc>
        <w:tc>
          <w:tcPr>
            <w:tcW w:w="1084" w:type="dxa"/>
            <w:tcBorders>
              <w:top w:val="nil"/>
              <w:left w:val="nil"/>
              <w:bottom w:val="single" w:sz="4" w:space="0" w:color="auto"/>
              <w:right w:val="single" w:sz="4" w:space="0" w:color="auto"/>
            </w:tcBorders>
            <w:shd w:val="clear" w:color="auto" w:fill="auto"/>
            <w:noWrap/>
            <w:vAlign w:val="bottom"/>
            <w:hideMark/>
          </w:tcPr>
          <w:p w14:paraId="4C67CE41"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3.000</w:t>
            </w:r>
          </w:p>
        </w:tc>
        <w:tc>
          <w:tcPr>
            <w:tcW w:w="1084" w:type="dxa"/>
            <w:tcBorders>
              <w:top w:val="nil"/>
              <w:left w:val="nil"/>
              <w:bottom w:val="single" w:sz="4" w:space="0" w:color="auto"/>
              <w:right w:val="single" w:sz="4" w:space="0" w:color="auto"/>
            </w:tcBorders>
            <w:shd w:val="clear" w:color="auto" w:fill="auto"/>
            <w:noWrap/>
            <w:vAlign w:val="bottom"/>
            <w:hideMark/>
          </w:tcPr>
          <w:p w14:paraId="4560630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3.000</w:t>
            </w:r>
          </w:p>
        </w:tc>
        <w:tc>
          <w:tcPr>
            <w:tcW w:w="1084" w:type="dxa"/>
            <w:tcBorders>
              <w:top w:val="nil"/>
              <w:left w:val="nil"/>
              <w:bottom w:val="single" w:sz="4" w:space="0" w:color="auto"/>
              <w:right w:val="single" w:sz="4" w:space="0" w:color="auto"/>
            </w:tcBorders>
            <w:shd w:val="clear" w:color="auto" w:fill="auto"/>
            <w:noWrap/>
            <w:vAlign w:val="bottom"/>
            <w:hideMark/>
          </w:tcPr>
          <w:p w14:paraId="1DC43ECB"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3.000</w:t>
            </w:r>
          </w:p>
        </w:tc>
        <w:tc>
          <w:tcPr>
            <w:tcW w:w="1120" w:type="dxa"/>
            <w:tcBorders>
              <w:top w:val="nil"/>
              <w:left w:val="nil"/>
              <w:bottom w:val="single" w:sz="4" w:space="0" w:color="auto"/>
              <w:right w:val="single" w:sz="4" w:space="0" w:color="auto"/>
            </w:tcBorders>
            <w:shd w:val="clear" w:color="auto" w:fill="auto"/>
            <w:noWrap/>
            <w:vAlign w:val="bottom"/>
            <w:hideMark/>
          </w:tcPr>
          <w:p w14:paraId="0CA9A227"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3.000</w:t>
            </w:r>
          </w:p>
        </w:tc>
      </w:tr>
      <w:tr w:rsidR="00786A5F" w:rsidRPr="003D2B87" w14:paraId="1B4EC8C2"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F42661C"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Schools, Early Years and Central Services Blocks Underspend</w:t>
            </w:r>
          </w:p>
        </w:tc>
        <w:tc>
          <w:tcPr>
            <w:tcW w:w="1084" w:type="dxa"/>
            <w:tcBorders>
              <w:top w:val="nil"/>
              <w:left w:val="nil"/>
              <w:bottom w:val="single" w:sz="4" w:space="0" w:color="auto"/>
              <w:right w:val="single" w:sz="4" w:space="0" w:color="auto"/>
            </w:tcBorders>
            <w:shd w:val="clear" w:color="auto" w:fill="AEAAAA"/>
            <w:noWrap/>
            <w:vAlign w:val="bottom"/>
            <w:hideMark/>
          </w:tcPr>
          <w:p w14:paraId="71542566"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4.090</w:t>
            </w:r>
          </w:p>
        </w:tc>
        <w:tc>
          <w:tcPr>
            <w:tcW w:w="1084" w:type="dxa"/>
            <w:tcBorders>
              <w:top w:val="nil"/>
              <w:left w:val="nil"/>
              <w:bottom w:val="single" w:sz="4" w:space="0" w:color="auto"/>
              <w:right w:val="single" w:sz="4" w:space="0" w:color="auto"/>
            </w:tcBorders>
            <w:shd w:val="clear" w:color="auto" w:fill="auto"/>
            <w:noWrap/>
            <w:vAlign w:val="bottom"/>
            <w:hideMark/>
          </w:tcPr>
          <w:p w14:paraId="442BA31B"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591D0FC2"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4AF27438"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52617404"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14:paraId="7FAC97F7"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r>
      <w:tr w:rsidR="00786A5F" w:rsidRPr="003D2B87" w14:paraId="3F1C70DE"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262626"/>
            <w:noWrap/>
            <w:vAlign w:val="bottom"/>
            <w:hideMark/>
          </w:tcPr>
          <w:p w14:paraId="38786EDA" w14:textId="77777777" w:rsidR="00786A5F" w:rsidRPr="003D2B87" w:rsidRDefault="00786A5F" w:rsidP="00786A5F">
            <w:pPr>
              <w:rPr>
                <w:rFonts w:ascii="Arial" w:hAnsi="Arial" w:cs="Arial"/>
                <w:b/>
                <w:color w:val="FFFFFF"/>
                <w:szCs w:val="20"/>
                <w:lang w:eastAsia="en-GB"/>
              </w:rPr>
            </w:pPr>
            <w:r w:rsidRPr="003D2B87">
              <w:rPr>
                <w:rFonts w:ascii="Arial" w:hAnsi="Arial" w:cs="Arial"/>
                <w:b/>
                <w:color w:val="FFFFFF"/>
                <w:szCs w:val="20"/>
                <w:lang w:eastAsia="en-GB"/>
              </w:rPr>
              <w:t>Total Resources Available</w:t>
            </w:r>
          </w:p>
        </w:tc>
        <w:tc>
          <w:tcPr>
            <w:tcW w:w="1084" w:type="dxa"/>
            <w:tcBorders>
              <w:top w:val="nil"/>
              <w:left w:val="nil"/>
              <w:bottom w:val="single" w:sz="4" w:space="0" w:color="auto"/>
              <w:right w:val="single" w:sz="4" w:space="0" w:color="auto"/>
            </w:tcBorders>
            <w:shd w:val="clear" w:color="auto" w:fill="262626"/>
            <w:noWrap/>
            <w:vAlign w:val="bottom"/>
            <w:hideMark/>
          </w:tcPr>
          <w:p w14:paraId="7F4179C2" w14:textId="77777777" w:rsidR="00786A5F" w:rsidRPr="003D2B87" w:rsidRDefault="00786A5F" w:rsidP="00786A5F">
            <w:pPr>
              <w:jc w:val="center"/>
              <w:rPr>
                <w:rFonts w:ascii="Arial" w:hAnsi="Arial" w:cs="Arial"/>
                <w:b/>
                <w:color w:val="FFFFFF"/>
                <w:szCs w:val="20"/>
                <w:lang w:eastAsia="en-GB"/>
              </w:rPr>
            </w:pPr>
            <w:r w:rsidRPr="003D2B87">
              <w:rPr>
                <w:rFonts w:ascii="Arial" w:hAnsi="Arial" w:cs="Arial"/>
                <w:b/>
                <w:color w:val="FFFFFF"/>
                <w:szCs w:val="20"/>
                <w:lang w:eastAsia="en-GB"/>
              </w:rPr>
              <w:t>86.917</w:t>
            </w:r>
          </w:p>
        </w:tc>
        <w:tc>
          <w:tcPr>
            <w:tcW w:w="1084" w:type="dxa"/>
            <w:tcBorders>
              <w:top w:val="nil"/>
              <w:left w:val="nil"/>
              <w:bottom w:val="single" w:sz="4" w:space="0" w:color="auto"/>
              <w:right w:val="single" w:sz="4" w:space="0" w:color="auto"/>
            </w:tcBorders>
            <w:shd w:val="clear" w:color="auto" w:fill="262626"/>
            <w:noWrap/>
            <w:vAlign w:val="bottom"/>
            <w:hideMark/>
          </w:tcPr>
          <w:p w14:paraId="0DE8FC25" w14:textId="77777777" w:rsidR="00786A5F" w:rsidRPr="003D2B87" w:rsidRDefault="00786A5F" w:rsidP="00786A5F">
            <w:pPr>
              <w:jc w:val="center"/>
              <w:rPr>
                <w:rFonts w:ascii="Arial" w:hAnsi="Arial" w:cs="Arial"/>
                <w:b/>
                <w:color w:val="FFFFFF"/>
                <w:szCs w:val="20"/>
                <w:lang w:eastAsia="en-GB"/>
              </w:rPr>
            </w:pPr>
            <w:r w:rsidRPr="003D2B87">
              <w:rPr>
                <w:rFonts w:ascii="Arial" w:hAnsi="Arial" w:cs="Arial"/>
                <w:b/>
                <w:color w:val="FFFFFF"/>
                <w:szCs w:val="20"/>
                <w:lang w:eastAsia="en-GB"/>
              </w:rPr>
              <w:t>90.812</w:t>
            </w:r>
          </w:p>
        </w:tc>
        <w:tc>
          <w:tcPr>
            <w:tcW w:w="1084" w:type="dxa"/>
            <w:tcBorders>
              <w:top w:val="nil"/>
              <w:left w:val="nil"/>
              <w:bottom w:val="single" w:sz="4" w:space="0" w:color="auto"/>
              <w:right w:val="single" w:sz="4" w:space="0" w:color="auto"/>
            </w:tcBorders>
            <w:shd w:val="clear" w:color="auto" w:fill="262626"/>
            <w:noWrap/>
            <w:vAlign w:val="bottom"/>
            <w:hideMark/>
          </w:tcPr>
          <w:p w14:paraId="3E1DC3E0" w14:textId="77777777" w:rsidR="00786A5F" w:rsidRPr="003D2B87" w:rsidRDefault="00786A5F" w:rsidP="00786A5F">
            <w:pPr>
              <w:jc w:val="center"/>
              <w:rPr>
                <w:rFonts w:ascii="Arial" w:hAnsi="Arial" w:cs="Arial"/>
                <w:b/>
                <w:color w:val="FFFFFF"/>
                <w:szCs w:val="20"/>
                <w:lang w:eastAsia="en-GB"/>
              </w:rPr>
            </w:pPr>
            <w:r w:rsidRPr="003D2B87">
              <w:rPr>
                <w:rFonts w:ascii="Arial" w:hAnsi="Arial" w:cs="Arial"/>
                <w:b/>
                <w:color w:val="FFFFFF"/>
                <w:szCs w:val="20"/>
                <w:lang w:eastAsia="en-GB"/>
              </w:rPr>
              <w:t>91.854</w:t>
            </w:r>
          </w:p>
        </w:tc>
        <w:tc>
          <w:tcPr>
            <w:tcW w:w="1084" w:type="dxa"/>
            <w:tcBorders>
              <w:top w:val="nil"/>
              <w:left w:val="nil"/>
              <w:bottom w:val="single" w:sz="4" w:space="0" w:color="auto"/>
              <w:right w:val="single" w:sz="4" w:space="0" w:color="auto"/>
            </w:tcBorders>
            <w:shd w:val="clear" w:color="auto" w:fill="262626"/>
            <w:noWrap/>
            <w:vAlign w:val="bottom"/>
            <w:hideMark/>
          </w:tcPr>
          <w:p w14:paraId="16F03734" w14:textId="77777777" w:rsidR="00786A5F" w:rsidRPr="003D2B87" w:rsidRDefault="00786A5F" w:rsidP="00786A5F">
            <w:pPr>
              <w:jc w:val="center"/>
              <w:rPr>
                <w:rFonts w:ascii="Arial" w:hAnsi="Arial" w:cs="Arial"/>
                <w:b/>
                <w:color w:val="FFFFFF"/>
                <w:szCs w:val="20"/>
                <w:lang w:eastAsia="en-GB"/>
              </w:rPr>
            </w:pPr>
            <w:r w:rsidRPr="003D2B87">
              <w:rPr>
                <w:rFonts w:ascii="Arial" w:hAnsi="Arial" w:cs="Arial"/>
                <w:b/>
                <w:color w:val="FFFFFF"/>
                <w:szCs w:val="20"/>
                <w:lang w:eastAsia="en-GB"/>
              </w:rPr>
              <w:t>92.702</w:t>
            </w:r>
          </w:p>
        </w:tc>
        <w:tc>
          <w:tcPr>
            <w:tcW w:w="1084" w:type="dxa"/>
            <w:tcBorders>
              <w:top w:val="nil"/>
              <w:left w:val="nil"/>
              <w:bottom w:val="single" w:sz="4" w:space="0" w:color="auto"/>
              <w:right w:val="single" w:sz="4" w:space="0" w:color="auto"/>
            </w:tcBorders>
            <w:shd w:val="clear" w:color="auto" w:fill="262626"/>
            <w:noWrap/>
            <w:vAlign w:val="bottom"/>
            <w:hideMark/>
          </w:tcPr>
          <w:p w14:paraId="18827CAA" w14:textId="77777777" w:rsidR="00786A5F" w:rsidRPr="003D2B87" w:rsidRDefault="00786A5F" w:rsidP="00786A5F">
            <w:pPr>
              <w:jc w:val="center"/>
              <w:rPr>
                <w:rFonts w:ascii="Arial" w:hAnsi="Arial" w:cs="Arial"/>
                <w:b/>
                <w:color w:val="FFFFFF"/>
                <w:szCs w:val="20"/>
                <w:lang w:eastAsia="en-GB"/>
              </w:rPr>
            </w:pPr>
            <w:r w:rsidRPr="003D2B87">
              <w:rPr>
                <w:rFonts w:ascii="Arial" w:hAnsi="Arial" w:cs="Arial"/>
                <w:b/>
                <w:color w:val="FFFFFF"/>
                <w:szCs w:val="20"/>
                <w:lang w:eastAsia="en-GB"/>
              </w:rPr>
              <w:t>93.555</w:t>
            </w:r>
          </w:p>
        </w:tc>
        <w:tc>
          <w:tcPr>
            <w:tcW w:w="1120" w:type="dxa"/>
            <w:tcBorders>
              <w:top w:val="nil"/>
              <w:left w:val="nil"/>
              <w:bottom w:val="single" w:sz="4" w:space="0" w:color="auto"/>
              <w:right w:val="single" w:sz="4" w:space="0" w:color="auto"/>
            </w:tcBorders>
            <w:shd w:val="clear" w:color="auto" w:fill="262626"/>
            <w:noWrap/>
            <w:vAlign w:val="bottom"/>
            <w:hideMark/>
          </w:tcPr>
          <w:p w14:paraId="60F55721" w14:textId="77777777" w:rsidR="00786A5F" w:rsidRPr="003D2B87" w:rsidRDefault="00786A5F" w:rsidP="00786A5F">
            <w:pPr>
              <w:jc w:val="center"/>
              <w:rPr>
                <w:rFonts w:ascii="Arial" w:hAnsi="Arial" w:cs="Arial"/>
                <w:b/>
                <w:color w:val="FFFFFF"/>
                <w:szCs w:val="20"/>
                <w:lang w:eastAsia="en-GB"/>
              </w:rPr>
            </w:pPr>
            <w:r w:rsidRPr="003D2B87">
              <w:rPr>
                <w:rFonts w:ascii="Arial" w:hAnsi="Arial" w:cs="Arial"/>
                <w:b/>
                <w:color w:val="FFFFFF"/>
                <w:szCs w:val="20"/>
                <w:lang w:eastAsia="en-GB"/>
              </w:rPr>
              <w:t>94.412</w:t>
            </w:r>
          </w:p>
        </w:tc>
      </w:tr>
      <w:tr w:rsidR="00786A5F" w:rsidRPr="003D2B87" w14:paraId="4F404766" w14:textId="77777777" w:rsidTr="00786A5F">
        <w:trPr>
          <w:trHeight w:val="139"/>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122D35C"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EAAAA"/>
            <w:noWrap/>
            <w:vAlign w:val="bottom"/>
            <w:hideMark/>
          </w:tcPr>
          <w:p w14:paraId="70133AAC"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2CBED8E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3094495F"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43CF9C7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0EB2BB6E"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CD2CE5"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r>
      <w:tr w:rsidR="00786A5F" w:rsidRPr="003D2B87" w14:paraId="5703559D"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FFFF7C8"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Placement Budget brought forward</w:t>
            </w:r>
          </w:p>
        </w:tc>
        <w:tc>
          <w:tcPr>
            <w:tcW w:w="1084" w:type="dxa"/>
            <w:tcBorders>
              <w:top w:val="nil"/>
              <w:left w:val="nil"/>
              <w:bottom w:val="single" w:sz="4" w:space="0" w:color="auto"/>
              <w:right w:val="single" w:sz="4" w:space="0" w:color="auto"/>
            </w:tcBorders>
            <w:shd w:val="clear" w:color="auto" w:fill="AEAAAA"/>
            <w:noWrap/>
            <w:vAlign w:val="bottom"/>
            <w:hideMark/>
          </w:tcPr>
          <w:p w14:paraId="49D1AACB"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0B920065"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80.488</w:t>
            </w:r>
          </w:p>
        </w:tc>
        <w:tc>
          <w:tcPr>
            <w:tcW w:w="1084" w:type="dxa"/>
            <w:tcBorders>
              <w:top w:val="nil"/>
              <w:left w:val="nil"/>
              <w:bottom w:val="single" w:sz="4" w:space="0" w:color="auto"/>
              <w:right w:val="single" w:sz="4" w:space="0" w:color="auto"/>
            </w:tcBorders>
            <w:shd w:val="clear" w:color="auto" w:fill="auto"/>
            <w:noWrap/>
            <w:vAlign w:val="bottom"/>
            <w:hideMark/>
          </w:tcPr>
          <w:p w14:paraId="7B25E393"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83.478</w:t>
            </w:r>
          </w:p>
        </w:tc>
        <w:tc>
          <w:tcPr>
            <w:tcW w:w="1084" w:type="dxa"/>
            <w:tcBorders>
              <w:top w:val="nil"/>
              <w:left w:val="nil"/>
              <w:bottom w:val="single" w:sz="4" w:space="0" w:color="auto"/>
              <w:right w:val="single" w:sz="4" w:space="0" w:color="auto"/>
            </w:tcBorders>
            <w:shd w:val="clear" w:color="auto" w:fill="auto"/>
            <w:noWrap/>
            <w:vAlign w:val="bottom"/>
            <w:hideMark/>
          </w:tcPr>
          <w:p w14:paraId="77988A24"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82.765</w:t>
            </w:r>
          </w:p>
        </w:tc>
        <w:tc>
          <w:tcPr>
            <w:tcW w:w="1084" w:type="dxa"/>
            <w:tcBorders>
              <w:top w:val="nil"/>
              <w:left w:val="nil"/>
              <w:bottom w:val="single" w:sz="4" w:space="0" w:color="auto"/>
              <w:right w:val="single" w:sz="4" w:space="0" w:color="auto"/>
            </w:tcBorders>
            <w:shd w:val="clear" w:color="auto" w:fill="auto"/>
            <w:noWrap/>
            <w:vAlign w:val="bottom"/>
            <w:hideMark/>
          </w:tcPr>
          <w:p w14:paraId="31F87E24"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78.285</w:t>
            </w:r>
          </w:p>
        </w:tc>
        <w:tc>
          <w:tcPr>
            <w:tcW w:w="1120" w:type="dxa"/>
            <w:tcBorders>
              <w:top w:val="nil"/>
              <w:left w:val="nil"/>
              <w:bottom w:val="single" w:sz="4" w:space="0" w:color="auto"/>
              <w:right w:val="single" w:sz="4" w:space="0" w:color="auto"/>
            </w:tcBorders>
            <w:shd w:val="clear" w:color="auto" w:fill="auto"/>
            <w:noWrap/>
            <w:vAlign w:val="bottom"/>
            <w:hideMark/>
          </w:tcPr>
          <w:p w14:paraId="250BF6AF"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76.865</w:t>
            </w:r>
          </w:p>
        </w:tc>
      </w:tr>
      <w:tr w:rsidR="00786A5F" w:rsidRPr="003D2B87" w14:paraId="041F812C"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5F85129"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Demographics and unmet demand</w:t>
            </w:r>
          </w:p>
        </w:tc>
        <w:tc>
          <w:tcPr>
            <w:tcW w:w="1084" w:type="dxa"/>
            <w:tcBorders>
              <w:top w:val="nil"/>
              <w:left w:val="nil"/>
              <w:bottom w:val="single" w:sz="4" w:space="0" w:color="auto"/>
              <w:right w:val="single" w:sz="4" w:space="0" w:color="auto"/>
            </w:tcBorders>
            <w:shd w:val="clear" w:color="auto" w:fill="AEAAAA"/>
            <w:noWrap/>
            <w:vAlign w:val="bottom"/>
            <w:hideMark/>
          </w:tcPr>
          <w:p w14:paraId="124E65AB"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F0771"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5.196</w:t>
            </w:r>
          </w:p>
        </w:tc>
        <w:tc>
          <w:tcPr>
            <w:tcW w:w="1084" w:type="dxa"/>
            <w:tcBorders>
              <w:top w:val="single" w:sz="4" w:space="0" w:color="auto"/>
              <w:left w:val="nil"/>
              <w:bottom w:val="single" w:sz="4" w:space="0" w:color="auto"/>
              <w:right w:val="single" w:sz="4" w:space="0" w:color="auto"/>
            </w:tcBorders>
            <w:shd w:val="clear" w:color="auto" w:fill="auto"/>
            <w:noWrap/>
            <w:hideMark/>
          </w:tcPr>
          <w:p w14:paraId="43ED6E57"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6.748</w:t>
            </w:r>
          </w:p>
        </w:tc>
        <w:tc>
          <w:tcPr>
            <w:tcW w:w="1084" w:type="dxa"/>
            <w:tcBorders>
              <w:top w:val="single" w:sz="4" w:space="0" w:color="auto"/>
              <w:left w:val="nil"/>
              <w:bottom w:val="single" w:sz="4" w:space="0" w:color="auto"/>
              <w:right w:val="single" w:sz="4" w:space="0" w:color="auto"/>
            </w:tcBorders>
            <w:shd w:val="clear" w:color="auto" w:fill="auto"/>
            <w:noWrap/>
            <w:hideMark/>
          </w:tcPr>
          <w:p w14:paraId="06AED5D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5.206</w:t>
            </w:r>
          </w:p>
        </w:tc>
        <w:tc>
          <w:tcPr>
            <w:tcW w:w="1084" w:type="dxa"/>
            <w:tcBorders>
              <w:top w:val="single" w:sz="4" w:space="0" w:color="auto"/>
              <w:left w:val="nil"/>
              <w:bottom w:val="single" w:sz="4" w:space="0" w:color="auto"/>
              <w:right w:val="single" w:sz="4" w:space="0" w:color="auto"/>
            </w:tcBorders>
            <w:shd w:val="clear" w:color="auto" w:fill="auto"/>
            <w:noWrap/>
            <w:hideMark/>
          </w:tcPr>
          <w:p w14:paraId="7C4EC24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5.206</w:t>
            </w:r>
          </w:p>
        </w:tc>
        <w:tc>
          <w:tcPr>
            <w:tcW w:w="1120" w:type="dxa"/>
            <w:tcBorders>
              <w:top w:val="single" w:sz="4" w:space="0" w:color="auto"/>
              <w:left w:val="nil"/>
              <w:bottom w:val="single" w:sz="4" w:space="0" w:color="auto"/>
              <w:right w:val="single" w:sz="4" w:space="0" w:color="auto"/>
            </w:tcBorders>
            <w:shd w:val="clear" w:color="auto" w:fill="auto"/>
            <w:noWrap/>
            <w:hideMark/>
          </w:tcPr>
          <w:p w14:paraId="748096A0"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5.206</w:t>
            </w:r>
          </w:p>
        </w:tc>
      </w:tr>
      <w:tr w:rsidR="00786A5F" w:rsidRPr="003D2B87" w14:paraId="1A71EA52"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7AB3100"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Demand Management *</w:t>
            </w:r>
          </w:p>
        </w:tc>
        <w:tc>
          <w:tcPr>
            <w:tcW w:w="1084" w:type="dxa"/>
            <w:tcBorders>
              <w:top w:val="nil"/>
              <w:left w:val="nil"/>
              <w:bottom w:val="single" w:sz="4" w:space="0" w:color="auto"/>
              <w:right w:val="single" w:sz="4" w:space="0" w:color="auto"/>
            </w:tcBorders>
            <w:shd w:val="clear" w:color="auto" w:fill="AEAAAA"/>
            <w:noWrap/>
            <w:vAlign w:val="bottom"/>
            <w:hideMark/>
          </w:tcPr>
          <w:p w14:paraId="0D83B9CD"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117B9710"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0.000</w:t>
            </w:r>
          </w:p>
        </w:tc>
        <w:tc>
          <w:tcPr>
            <w:tcW w:w="1084" w:type="dxa"/>
            <w:tcBorders>
              <w:top w:val="nil"/>
              <w:left w:val="nil"/>
              <w:bottom w:val="single" w:sz="4" w:space="0" w:color="auto"/>
              <w:right w:val="single" w:sz="4" w:space="0" w:color="auto"/>
            </w:tcBorders>
            <w:shd w:val="clear" w:color="auto" w:fill="auto"/>
            <w:noWrap/>
            <w:vAlign w:val="bottom"/>
            <w:hideMark/>
          </w:tcPr>
          <w:p w14:paraId="4D5EED05"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0.000</w:t>
            </w:r>
          </w:p>
        </w:tc>
        <w:tc>
          <w:tcPr>
            <w:tcW w:w="1084" w:type="dxa"/>
            <w:tcBorders>
              <w:top w:val="nil"/>
              <w:left w:val="nil"/>
              <w:bottom w:val="single" w:sz="4" w:space="0" w:color="auto"/>
              <w:right w:val="single" w:sz="4" w:space="0" w:color="auto"/>
            </w:tcBorders>
            <w:shd w:val="clear" w:color="auto" w:fill="auto"/>
            <w:noWrap/>
            <w:vAlign w:val="bottom"/>
            <w:hideMark/>
          </w:tcPr>
          <w:p w14:paraId="4DB7B919"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-1.080</w:t>
            </w:r>
          </w:p>
        </w:tc>
        <w:tc>
          <w:tcPr>
            <w:tcW w:w="1084" w:type="dxa"/>
            <w:tcBorders>
              <w:top w:val="nil"/>
              <w:left w:val="nil"/>
              <w:bottom w:val="single" w:sz="4" w:space="0" w:color="auto"/>
              <w:right w:val="single" w:sz="4" w:space="0" w:color="auto"/>
            </w:tcBorders>
            <w:shd w:val="clear" w:color="auto" w:fill="auto"/>
            <w:noWrap/>
            <w:vAlign w:val="bottom"/>
            <w:hideMark/>
          </w:tcPr>
          <w:p w14:paraId="1C44DD95"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-2.931</w:t>
            </w:r>
          </w:p>
        </w:tc>
        <w:tc>
          <w:tcPr>
            <w:tcW w:w="1120" w:type="dxa"/>
            <w:tcBorders>
              <w:top w:val="nil"/>
              <w:left w:val="nil"/>
              <w:bottom w:val="single" w:sz="4" w:space="0" w:color="auto"/>
              <w:right w:val="single" w:sz="4" w:space="0" w:color="auto"/>
            </w:tcBorders>
            <w:shd w:val="clear" w:color="auto" w:fill="auto"/>
            <w:noWrap/>
            <w:vAlign w:val="bottom"/>
            <w:hideMark/>
          </w:tcPr>
          <w:p w14:paraId="18F56D61"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-4.620</w:t>
            </w:r>
          </w:p>
        </w:tc>
      </w:tr>
      <w:tr w:rsidR="00786A5F" w:rsidRPr="003D2B87" w14:paraId="3D5E6EEB"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F371B97"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Savings *</w:t>
            </w:r>
          </w:p>
        </w:tc>
        <w:tc>
          <w:tcPr>
            <w:tcW w:w="1084" w:type="dxa"/>
            <w:tcBorders>
              <w:top w:val="nil"/>
              <w:left w:val="nil"/>
              <w:bottom w:val="single" w:sz="4" w:space="0" w:color="auto"/>
              <w:right w:val="single" w:sz="4" w:space="0" w:color="auto"/>
            </w:tcBorders>
            <w:shd w:val="clear" w:color="auto" w:fill="AEAAAA"/>
            <w:noWrap/>
            <w:vAlign w:val="bottom"/>
            <w:hideMark/>
          </w:tcPr>
          <w:p w14:paraId="202A347E"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87F0"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-2.207</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5D67C493"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-7.411</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70ED12B1"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-8.556</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51F30197"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-3.644</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290F045"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-1.853</w:t>
            </w:r>
          </w:p>
        </w:tc>
      </w:tr>
      <w:tr w:rsidR="00786A5F" w:rsidRPr="003D2B87" w14:paraId="6399322F"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595959"/>
            <w:noWrap/>
            <w:vAlign w:val="bottom"/>
            <w:hideMark/>
          </w:tcPr>
          <w:p w14:paraId="6AD1FDEB" w14:textId="77777777" w:rsidR="00786A5F" w:rsidRPr="003D2B87" w:rsidRDefault="00786A5F" w:rsidP="00786A5F">
            <w:pPr>
              <w:rPr>
                <w:rFonts w:ascii="Arial" w:hAnsi="Arial" w:cs="Arial"/>
                <w:color w:val="FFFFFF"/>
                <w:szCs w:val="20"/>
                <w:lang w:eastAsia="en-GB"/>
              </w:rPr>
            </w:pPr>
            <w:r w:rsidRPr="003D2B87">
              <w:rPr>
                <w:rFonts w:ascii="Arial" w:hAnsi="Arial" w:cs="Arial"/>
                <w:color w:val="FFFFFF"/>
                <w:szCs w:val="20"/>
                <w:lang w:eastAsia="en-GB"/>
              </w:rPr>
              <w:t>Sub-Total Placement Costs</w:t>
            </w:r>
          </w:p>
        </w:tc>
        <w:tc>
          <w:tcPr>
            <w:tcW w:w="1084" w:type="dxa"/>
            <w:tcBorders>
              <w:top w:val="nil"/>
              <w:left w:val="nil"/>
              <w:bottom w:val="single" w:sz="4" w:space="0" w:color="auto"/>
              <w:right w:val="single" w:sz="4" w:space="0" w:color="auto"/>
            </w:tcBorders>
            <w:shd w:val="clear" w:color="auto" w:fill="595959"/>
            <w:noWrap/>
            <w:vAlign w:val="bottom"/>
            <w:hideMark/>
          </w:tcPr>
          <w:p w14:paraId="15070454" w14:textId="77777777" w:rsidR="00786A5F" w:rsidRPr="003D2B87" w:rsidRDefault="00786A5F" w:rsidP="00786A5F">
            <w:pPr>
              <w:jc w:val="center"/>
              <w:rPr>
                <w:rFonts w:ascii="Arial" w:hAnsi="Arial" w:cs="Arial"/>
                <w:color w:val="FFFFFF"/>
                <w:szCs w:val="20"/>
                <w:lang w:eastAsia="en-GB"/>
              </w:rPr>
            </w:pPr>
            <w:r w:rsidRPr="003D2B87">
              <w:rPr>
                <w:rFonts w:ascii="Arial" w:hAnsi="Arial" w:cs="Arial"/>
                <w:color w:val="FFFFFF"/>
                <w:szCs w:val="20"/>
                <w:lang w:eastAsia="en-GB"/>
              </w:rPr>
              <w:t>80.488</w:t>
            </w:r>
          </w:p>
        </w:tc>
        <w:tc>
          <w:tcPr>
            <w:tcW w:w="1084" w:type="dxa"/>
            <w:tcBorders>
              <w:top w:val="single" w:sz="4" w:space="0" w:color="auto"/>
              <w:left w:val="single" w:sz="4" w:space="0" w:color="auto"/>
              <w:bottom w:val="single" w:sz="4" w:space="0" w:color="auto"/>
              <w:right w:val="single" w:sz="4" w:space="0" w:color="auto"/>
            </w:tcBorders>
            <w:shd w:val="clear" w:color="auto" w:fill="595959"/>
            <w:noWrap/>
            <w:vAlign w:val="bottom"/>
            <w:hideMark/>
          </w:tcPr>
          <w:p w14:paraId="493DC9FB" w14:textId="77777777" w:rsidR="00786A5F" w:rsidRPr="003D2B87" w:rsidRDefault="00786A5F" w:rsidP="00786A5F">
            <w:pPr>
              <w:jc w:val="center"/>
              <w:rPr>
                <w:rFonts w:ascii="Arial" w:hAnsi="Arial" w:cs="Arial"/>
                <w:color w:val="FFFFFF"/>
                <w:szCs w:val="20"/>
                <w:lang w:eastAsia="en-GB"/>
              </w:rPr>
            </w:pPr>
            <w:r w:rsidRPr="003D2B87">
              <w:rPr>
                <w:rFonts w:ascii="Arial" w:hAnsi="Arial" w:cs="Arial"/>
                <w:color w:val="FFFFFF"/>
                <w:szCs w:val="20"/>
                <w:lang w:eastAsia="en-GB"/>
              </w:rPr>
              <w:t>83.478</w:t>
            </w:r>
          </w:p>
        </w:tc>
        <w:tc>
          <w:tcPr>
            <w:tcW w:w="1084" w:type="dxa"/>
            <w:tcBorders>
              <w:top w:val="single" w:sz="4" w:space="0" w:color="auto"/>
              <w:left w:val="nil"/>
              <w:bottom w:val="single" w:sz="4" w:space="0" w:color="auto"/>
              <w:right w:val="single" w:sz="4" w:space="0" w:color="auto"/>
            </w:tcBorders>
            <w:shd w:val="clear" w:color="auto" w:fill="595959"/>
            <w:noWrap/>
            <w:hideMark/>
          </w:tcPr>
          <w:p w14:paraId="627A7640" w14:textId="77777777" w:rsidR="00786A5F" w:rsidRPr="003D2B87" w:rsidRDefault="00786A5F" w:rsidP="00786A5F">
            <w:pPr>
              <w:jc w:val="center"/>
              <w:rPr>
                <w:rFonts w:ascii="Arial" w:hAnsi="Arial" w:cs="Arial"/>
                <w:color w:val="FFFFFF"/>
                <w:szCs w:val="20"/>
                <w:lang w:eastAsia="en-GB"/>
              </w:rPr>
            </w:pPr>
            <w:r w:rsidRPr="003D2B87">
              <w:rPr>
                <w:rFonts w:ascii="Arial" w:hAnsi="Arial" w:cs="Arial"/>
                <w:color w:val="FFFFFF"/>
                <w:szCs w:val="20"/>
                <w:lang w:eastAsia="en-GB"/>
              </w:rPr>
              <w:t>82.815</w:t>
            </w:r>
          </w:p>
        </w:tc>
        <w:tc>
          <w:tcPr>
            <w:tcW w:w="1084" w:type="dxa"/>
            <w:tcBorders>
              <w:top w:val="single" w:sz="4" w:space="0" w:color="auto"/>
              <w:left w:val="nil"/>
              <w:bottom w:val="single" w:sz="4" w:space="0" w:color="auto"/>
              <w:right w:val="single" w:sz="4" w:space="0" w:color="auto"/>
            </w:tcBorders>
            <w:shd w:val="clear" w:color="auto" w:fill="595959"/>
            <w:noWrap/>
            <w:hideMark/>
          </w:tcPr>
          <w:p w14:paraId="0F176DD0" w14:textId="77777777" w:rsidR="00786A5F" w:rsidRPr="003D2B87" w:rsidRDefault="00786A5F" w:rsidP="00786A5F">
            <w:pPr>
              <w:jc w:val="center"/>
              <w:rPr>
                <w:rFonts w:ascii="Arial" w:hAnsi="Arial" w:cs="Arial"/>
                <w:color w:val="FFFFFF"/>
                <w:szCs w:val="20"/>
                <w:lang w:eastAsia="en-GB"/>
              </w:rPr>
            </w:pPr>
            <w:r w:rsidRPr="003D2B87">
              <w:rPr>
                <w:rFonts w:ascii="Arial" w:hAnsi="Arial" w:cs="Arial"/>
                <w:color w:val="FFFFFF"/>
                <w:szCs w:val="20"/>
                <w:lang w:eastAsia="en-GB"/>
              </w:rPr>
              <w:t>78.385</w:t>
            </w:r>
          </w:p>
        </w:tc>
        <w:tc>
          <w:tcPr>
            <w:tcW w:w="1084" w:type="dxa"/>
            <w:tcBorders>
              <w:top w:val="single" w:sz="4" w:space="0" w:color="auto"/>
              <w:left w:val="nil"/>
              <w:bottom w:val="single" w:sz="4" w:space="0" w:color="auto"/>
              <w:right w:val="single" w:sz="4" w:space="0" w:color="auto"/>
            </w:tcBorders>
            <w:shd w:val="clear" w:color="auto" w:fill="595959"/>
            <w:noWrap/>
            <w:hideMark/>
          </w:tcPr>
          <w:p w14:paraId="10DC8202" w14:textId="77777777" w:rsidR="00786A5F" w:rsidRPr="003D2B87" w:rsidRDefault="00786A5F" w:rsidP="00786A5F">
            <w:pPr>
              <w:jc w:val="center"/>
              <w:rPr>
                <w:rFonts w:ascii="Arial" w:hAnsi="Arial" w:cs="Arial"/>
                <w:color w:val="FFFFFF"/>
                <w:szCs w:val="20"/>
                <w:lang w:eastAsia="en-GB"/>
              </w:rPr>
            </w:pPr>
            <w:r w:rsidRPr="003D2B87">
              <w:rPr>
                <w:rFonts w:ascii="Arial" w:hAnsi="Arial" w:cs="Arial"/>
                <w:color w:val="FFFFFF"/>
                <w:szCs w:val="20"/>
                <w:lang w:eastAsia="en-GB"/>
              </w:rPr>
              <w:t>77.015</w:t>
            </w:r>
          </w:p>
        </w:tc>
        <w:tc>
          <w:tcPr>
            <w:tcW w:w="1120" w:type="dxa"/>
            <w:tcBorders>
              <w:top w:val="single" w:sz="4" w:space="0" w:color="auto"/>
              <w:left w:val="nil"/>
              <w:bottom w:val="single" w:sz="4" w:space="0" w:color="auto"/>
              <w:right w:val="single" w:sz="4" w:space="0" w:color="auto"/>
            </w:tcBorders>
            <w:shd w:val="clear" w:color="auto" w:fill="595959"/>
            <w:noWrap/>
            <w:hideMark/>
          </w:tcPr>
          <w:p w14:paraId="7674381A" w14:textId="77777777" w:rsidR="00786A5F" w:rsidRPr="003D2B87" w:rsidRDefault="00786A5F" w:rsidP="00786A5F">
            <w:pPr>
              <w:jc w:val="center"/>
              <w:rPr>
                <w:rFonts w:ascii="Arial" w:hAnsi="Arial" w:cs="Arial"/>
                <w:color w:val="FFFFFF"/>
                <w:szCs w:val="20"/>
                <w:lang w:eastAsia="en-GB"/>
              </w:rPr>
            </w:pPr>
            <w:r w:rsidRPr="003D2B87">
              <w:rPr>
                <w:rFonts w:ascii="Arial" w:hAnsi="Arial" w:cs="Arial"/>
                <w:color w:val="FFFFFF"/>
                <w:szCs w:val="20"/>
                <w:lang w:eastAsia="en-GB"/>
              </w:rPr>
              <w:t>75.749</w:t>
            </w:r>
          </w:p>
        </w:tc>
      </w:tr>
      <w:tr w:rsidR="00786A5F" w:rsidRPr="003D2B87" w14:paraId="68A6DBD3"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7270EEB"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Pupil specific supplementary High Needs SEND funding in mainstream schools - includes Element 3 SEND and exceptional circumstances funding</w:t>
            </w:r>
          </w:p>
        </w:tc>
        <w:tc>
          <w:tcPr>
            <w:tcW w:w="1084" w:type="dxa"/>
            <w:tcBorders>
              <w:top w:val="nil"/>
              <w:left w:val="nil"/>
              <w:bottom w:val="single" w:sz="4" w:space="0" w:color="auto"/>
              <w:right w:val="single" w:sz="4" w:space="0" w:color="auto"/>
            </w:tcBorders>
            <w:shd w:val="clear" w:color="auto" w:fill="AEAAAA"/>
            <w:noWrap/>
            <w:vAlign w:val="bottom"/>
            <w:hideMark/>
          </w:tcPr>
          <w:p w14:paraId="0073F8AF"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6.075</w:t>
            </w:r>
          </w:p>
        </w:tc>
        <w:tc>
          <w:tcPr>
            <w:tcW w:w="1084" w:type="dxa"/>
            <w:tcBorders>
              <w:top w:val="nil"/>
              <w:left w:val="nil"/>
              <w:bottom w:val="single" w:sz="4" w:space="0" w:color="auto"/>
              <w:right w:val="single" w:sz="4" w:space="0" w:color="auto"/>
            </w:tcBorders>
            <w:shd w:val="clear" w:color="auto" w:fill="auto"/>
            <w:noWrap/>
            <w:vAlign w:val="bottom"/>
            <w:hideMark/>
          </w:tcPr>
          <w:p w14:paraId="7C180499"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8.439</w:t>
            </w:r>
          </w:p>
        </w:tc>
        <w:tc>
          <w:tcPr>
            <w:tcW w:w="1084" w:type="dxa"/>
            <w:tcBorders>
              <w:top w:val="nil"/>
              <w:left w:val="nil"/>
              <w:bottom w:val="single" w:sz="4" w:space="0" w:color="auto"/>
              <w:right w:val="single" w:sz="4" w:space="0" w:color="auto"/>
            </w:tcBorders>
            <w:shd w:val="clear" w:color="auto" w:fill="auto"/>
            <w:noWrap/>
            <w:vAlign w:val="bottom"/>
            <w:hideMark/>
          </w:tcPr>
          <w:p w14:paraId="4075562C"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8.439</w:t>
            </w:r>
          </w:p>
        </w:tc>
        <w:tc>
          <w:tcPr>
            <w:tcW w:w="1084" w:type="dxa"/>
            <w:tcBorders>
              <w:top w:val="nil"/>
              <w:left w:val="nil"/>
              <w:bottom w:val="single" w:sz="4" w:space="0" w:color="auto"/>
              <w:right w:val="single" w:sz="4" w:space="0" w:color="auto"/>
            </w:tcBorders>
            <w:shd w:val="clear" w:color="auto" w:fill="auto"/>
            <w:noWrap/>
            <w:vAlign w:val="bottom"/>
            <w:hideMark/>
          </w:tcPr>
          <w:p w14:paraId="7077AD46"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8.439</w:t>
            </w:r>
          </w:p>
        </w:tc>
        <w:tc>
          <w:tcPr>
            <w:tcW w:w="1084" w:type="dxa"/>
            <w:tcBorders>
              <w:top w:val="nil"/>
              <w:left w:val="nil"/>
              <w:bottom w:val="single" w:sz="4" w:space="0" w:color="auto"/>
              <w:right w:val="single" w:sz="4" w:space="0" w:color="auto"/>
            </w:tcBorders>
            <w:shd w:val="clear" w:color="auto" w:fill="auto"/>
            <w:noWrap/>
            <w:vAlign w:val="bottom"/>
            <w:hideMark/>
          </w:tcPr>
          <w:p w14:paraId="3A3F47B9"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8.439</w:t>
            </w:r>
          </w:p>
        </w:tc>
        <w:tc>
          <w:tcPr>
            <w:tcW w:w="1120" w:type="dxa"/>
            <w:tcBorders>
              <w:top w:val="nil"/>
              <w:left w:val="nil"/>
              <w:bottom w:val="single" w:sz="4" w:space="0" w:color="auto"/>
              <w:right w:val="single" w:sz="4" w:space="0" w:color="auto"/>
            </w:tcBorders>
            <w:shd w:val="clear" w:color="auto" w:fill="auto"/>
            <w:noWrap/>
            <w:vAlign w:val="bottom"/>
            <w:hideMark/>
          </w:tcPr>
          <w:p w14:paraId="28AF5043"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8.439</w:t>
            </w:r>
          </w:p>
        </w:tc>
      </w:tr>
      <w:tr w:rsidR="00786A5F" w:rsidRPr="003D2B87" w14:paraId="251F6910"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44C2469"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Start-up Costs</w:t>
            </w:r>
          </w:p>
        </w:tc>
        <w:tc>
          <w:tcPr>
            <w:tcW w:w="1084" w:type="dxa"/>
            <w:tcBorders>
              <w:top w:val="nil"/>
              <w:left w:val="nil"/>
              <w:bottom w:val="single" w:sz="4" w:space="0" w:color="auto"/>
              <w:right w:val="single" w:sz="4" w:space="0" w:color="auto"/>
            </w:tcBorders>
            <w:shd w:val="clear" w:color="auto" w:fill="AEAAAA"/>
            <w:noWrap/>
            <w:vAlign w:val="bottom"/>
            <w:hideMark/>
          </w:tcPr>
          <w:p w14:paraId="581DCC86"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0A3C1E9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0.500</w:t>
            </w:r>
          </w:p>
        </w:tc>
        <w:tc>
          <w:tcPr>
            <w:tcW w:w="1084" w:type="dxa"/>
            <w:tcBorders>
              <w:top w:val="nil"/>
              <w:left w:val="nil"/>
              <w:bottom w:val="single" w:sz="4" w:space="0" w:color="auto"/>
              <w:right w:val="single" w:sz="4" w:space="0" w:color="auto"/>
            </w:tcBorders>
            <w:shd w:val="clear" w:color="auto" w:fill="auto"/>
            <w:noWrap/>
            <w:vAlign w:val="bottom"/>
            <w:hideMark/>
          </w:tcPr>
          <w:p w14:paraId="3F6EBF54"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0.500</w:t>
            </w:r>
          </w:p>
        </w:tc>
        <w:tc>
          <w:tcPr>
            <w:tcW w:w="1084" w:type="dxa"/>
            <w:tcBorders>
              <w:top w:val="nil"/>
              <w:left w:val="nil"/>
              <w:bottom w:val="single" w:sz="4" w:space="0" w:color="auto"/>
              <w:right w:val="single" w:sz="4" w:space="0" w:color="auto"/>
            </w:tcBorders>
            <w:shd w:val="clear" w:color="auto" w:fill="auto"/>
            <w:noWrap/>
            <w:vAlign w:val="bottom"/>
            <w:hideMark/>
          </w:tcPr>
          <w:p w14:paraId="16AEDB00"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4D144E8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14:paraId="1F15DF2C"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r>
      <w:tr w:rsidR="00786A5F" w:rsidRPr="003D2B87" w14:paraId="0AC756DE"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10E48A1"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Speech and Language</w:t>
            </w:r>
          </w:p>
        </w:tc>
        <w:tc>
          <w:tcPr>
            <w:tcW w:w="1084" w:type="dxa"/>
            <w:tcBorders>
              <w:top w:val="nil"/>
              <w:left w:val="nil"/>
              <w:bottom w:val="single" w:sz="4" w:space="0" w:color="auto"/>
              <w:right w:val="single" w:sz="4" w:space="0" w:color="auto"/>
            </w:tcBorders>
            <w:shd w:val="clear" w:color="auto" w:fill="AEAAAA"/>
            <w:noWrap/>
            <w:vAlign w:val="bottom"/>
            <w:hideMark/>
          </w:tcPr>
          <w:p w14:paraId="5C051CB5"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0.771</w:t>
            </w:r>
          </w:p>
        </w:tc>
        <w:tc>
          <w:tcPr>
            <w:tcW w:w="1084" w:type="dxa"/>
            <w:tcBorders>
              <w:top w:val="nil"/>
              <w:left w:val="nil"/>
              <w:bottom w:val="single" w:sz="4" w:space="0" w:color="auto"/>
              <w:right w:val="single" w:sz="4" w:space="0" w:color="auto"/>
            </w:tcBorders>
            <w:shd w:val="clear" w:color="auto" w:fill="auto"/>
            <w:noWrap/>
            <w:vAlign w:val="bottom"/>
            <w:hideMark/>
          </w:tcPr>
          <w:p w14:paraId="4B2B2BE3"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1.004</w:t>
            </w:r>
          </w:p>
        </w:tc>
        <w:tc>
          <w:tcPr>
            <w:tcW w:w="1084" w:type="dxa"/>
            <w:tcBorders>
              <w:top w:val="nil"/>
              <w:left w:val="nil"/>
              <w:bottom w:val="single" w:sz="4" w:space="0" w:color="auto"/>
              <w:right w:val="single" w:sz="4" w:space="0" w:color="auto"/>
            </w:tcBorders>
            <w:shd w:val="clear" w:color="auto" w:fill="auto"/>
            <w:noWrap/>
            <w:vAlign w:val="bottom"/>
            <w:hideMark/>
          </w:tcPr>
          <w:p w14:paraId="523F7F07"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1.004</w:t>
            </w:r>
          </w:p>
        </w:tc>
        <w:tc>
          <w:tcPr>
            <w:tcW w:w="1084" w:type="dxa"/>
            <w:tcBorders>
              <w:top w:val="nil"/>
              <w:left w:val="nil"/>
              <w:bottom w:val="single" w:sz="4" w:space="0" w:color="auto"/>
              <w:right w:val="single" w:sz="4" w:space="0" w:color="auto"/>
            </w:tcBorders>
            <w:shd w:val="clear" w:color="auto" w:fill="auto"/>
            <w:noWrap/>
            <w:vAlign w:val="bottom"/>
            <w:hideMark/>
          </w:tcPr>
          <w:p w14:paraId="68F90808"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1.004</w:t>
            </w:r>
          </w:p>
        </w:tc>
        <w:tc>
          <w:tcPr>
            <w:tcW w:w="1084" w:type="dxa"/>
            <w:tcBorders>
              <w:top w:val="nil"/>
              <w:left w:val="nil"/>
              <w:bottom w:val="single" w:sz="4" w:space="0" w:color="auto"/>
              <w:right w:val="single" w:sz="4" w:space="0" w:color="auto"/>
            </w:tcBorders>
            <w:shd w:val="clear" w:color="auto" w:fill="auto"/>
            <w:noWrap/>
            <w:vAlign w:val="bottom"/>
            <w:hideMark/>
          </w:tcPr>
          <w:p w14:paraId="34B6089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1.004</w:t>
            </w:r>
          </w:p>
        </w:tc>
        <w:tc>
          <w:tcPr>
            <w:tcW w:w="1120" w:type="dxa"/>
            <w:tcBorders>
              <w:top w:val="nil"/>
              <w:left w:val="nil"/>
              <w:bottom w:val="single" w:sz="4" w:space="0" w:color="auto"/>
              <w:right w:val="single" w:sz="4" w:space="0" w:color="auto"/>
            </w:tcBorders>
            <w:shd w:val="clear" w:color="auto" w:fill="auto"/>
            <w:noWrap/>
            <w:vAlign w:val="bottom"/>
            <w:hideMark/>
          </w:tcPr>
          <w:p w14:paraId="4674D2C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1.004</w:t>
            </w:r>
          </w:p>
        </w:tc>
      </w:tr>
      <w:tr w:rsidR="00786A5F" w:rsidRPr="003D2B87" w14:paraId="0F6E6692"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C5C4111"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Sensory Support</w:t>
            </w:r>
          </w:p>
        </w:tc>
        <w:tc>
          <w:tcPr>
            <w:tcW w:w="1084" w:type="dxa"/>
            <w:tcBorders>
              <w:top w:val="nil"/>
              <w:left w:val="nil"/>
              <w:bottom w:val="single" w:sz="4" w:space="0" w:color="auto"/>
              <w:right w:val="single" w:sz="4" w:space="0" w:color="auto"/>
            </w:tcBorders>
            <w:shd w:val="clear" w:color="auto" w:fill="AEAAAA"/>
            <w:noWrap/>
            <w:vAlign w:val="bottom"/>
            <w:hideMark/>
          </w:tcPr>
          <w:p w14:paraId="1A38E86B"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1.624</w:t>
            </w:r>
          </w:p>
        </w:tc>
        <w:tc>
          <w:tcPr>
            <w:tcW w:w="1084" w:type="dxa"/>
            <w:tcBorders>
              <w:top w:val="nil"/>
              <w:left w:val="nil"/>
              <w:bottom w:val="single" w:sz="4" w:space="0" w:color="auto"/>
              <w:right w:val="single" w:sz="4" w:space="0" w:color="auto"/>
            </w:tcBorders>
            <w:shd w:val="clear" w:color="auto" w:fill="auto"/>
            <w:noWrap/>
            <w:vAlign w:val="bottom"/>
            <w:hideMark/>
          </w:tcPr>
          <w:p w14:paraId="1439100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1.624</w:t>
            </w:r>
          </w:p>
        </w:tc>
        <w:tc>
          <w:tcPr>
            <w:tcW w:w="1084" w:type="dxa"/>
            <w:tcBorders>
              <w:top w:val="nil"/>
              <w:left w:val="nil"/>
              <w:bottom w:val="single" w:sz="4" w:space="0" w:color="auto"/>
              <w:right w:val="single" w:sz="4" w:space="0" w:color="auto"/>
            </w:tcBorders>
            <w:shd w:val="clear" w:color="auto" w:fill="auto"/>
            <w:noWrap/>
            <w:vAlign w:val="bottom"/>
            <w:hideMark/>
          </w:tcPr>
          <w:p w14:paraId="6C2907D4"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1.624</w:t>
            </w:r>
          </w:p>
        </w:tc>
        <w:tc>
          <w:tcPr>
            <w:tcW w:w="1084" w:type="dxa"/>
            <w:tcBorders>
              <w:top w:val="nil"/>
              <w:left w:val="nil"/>
              <w:bottom w:val="single" w:sz="4" w:space="0" w:color="auto"/>
              <w:right w:val="single" w:sz="4" w:space="0" w:color="auto"/>
            </w:tcBorders>
            <w:shd w:val="clear" w:color="auto" w:fill="auto"/>
            <w:noWrap/>
            <w:vAlign w:val="bottom"/>
            <w:hideMark/>
          </w:tcPr>
          <w:p w14:paraId="7D1E32B1"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1.624</w:t>
            </w:r>
          </w:p>
        </w:tc>
        <w:tc>
          <w:tcPr>
            <w:tcW w:w="1084" w:type="dxa"/>
            <w:tcBorders>
              <w:top w:val="nil"/>
              <w:left w:val="nil"/>
              <w:bottom w:val="single" w:sz="4" w:space="0" w:color="auto"/>
              <w:right w:val="single" w:sz="4" w:space="0" w:color="auto"/>
            </w:tcBorders>
            <w:shd w:val="clear" w:color="auto" w:fill="auto"/>
            <w:noWrap/>
            <w:vAlign w:val="bottom"/>
            <w:hideMark/>
          </w:tcPr>
          <w:p w14:paraId="0A8BB90C"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1.624</w:t>
            </w:r>
          </w:p>
        </w:tc>
        <w:tc>
          <w:tcPr>
            <w:tcW w:w="1120" w:type="dxa"/>
            <w:tcBorders>
              <w:top w:val="nil"/>
              <w:left w:val="nil"/>
              <w:bottom w:val="single" w:sz="4" w:space="0" w:color="auto"/>
              <w:right w:val="single" w:sz="4" w:space="0" w:color="auto"/>
            </w:tcBorders>
            <w:shd w:val="clear" w:color="auto" w:fill="auto"/>
            <w:noWrap/>
            <w:vAlign w:val="bottom"/>
            <w:hideMark/>
          </w:tcPr>
          <w:p w14:paraId="2D46C7DE"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1.624</w:t>
            </w:r>
          </w:p>
        </w:tc>
      </w:tr>
      <w:tr w:rsidR="00786A5F" w:rsidRPr="003D2B87" w14:paraId="64CA91EC"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9619721"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YOT</w:t>
            </w:r>
          </w:p>
        </w:tc>
        <w:tc>
          <w:tcPr>
            <w:tcW w:w="1084" w:type="dxa"/>
            <w:tcBorders>
              <w:top w:val="nil"/>
              <w:left w:val="nil"/>
              <w:bottom w:val="single" w:sz="4" w:space="0" w:color="auto"/>
              <w:right w:val="single" w:sz="4" w:space="0" w:color="auto"/>
            </w:tcBorders>
            <w:shd w:val="clear" w:color="auto" w:fill="AEAAAA"/>
            <w:noWrap/>
            <w:vAlign w:val="bottom"/>
            <w:hideMark/>
          </w:tcPr>
          <w:p w14:paraId="4FEF8748"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0.290</w:t>
            </w:r>
          </w:p>
        </w:tc>
        <w:tc>
          <w:tcPr>
            <w:tcW w:w="1084" w:type="dxa"/>
            <w:tcBorders>
              <w:top w:val="nil"/>
              <w:left w:val="nil"/>
              <w:bottom w:val="single" w:sz="4" w:space="0" w:color="auto"/>
              <w:right w:val="single" w:sz="4" w:space="0" w:color="auto"/>
            </w:tcBorders>
            <w:shd w:val="clear" w:color="auto" w:fill="auto"/>
            <w:noWrap/>
            <w:vAlign w:val="bottom"/>
            <w:hideMark/>
          </w:tcPr>
          <w:p w14:paraId="3325BB22"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0.290</w:t>
            </w:r>
          </w:p>
        </w:tc>
        <w:tc>
          <w:tcPr>
            <w:tcW w:w="1084" w:type="dxa"/>
            <w:tcBorders>
              <w:top w:val="nil"/>
              <w:left w:val="nil"/>
              <w:bottom w:val="single" w:sz="4" w:space="0" w:color="auto"/>
              <w:right w:val="single" w:sz="4" w:space="0" w:color="auto"/>
            </w:tcBorders>
            <w:shd w:val="clear" w:color="auto" w:fill="auto"/>
            <w:noWrap/>
            <w:vAlign w:val="bottom"/>
            <w:hideMark/>
          </w:tcPr>
          <w:p w14:paraId="4988E95C"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0.290</w:t>
            </w:r>
          </w:p>
        </w:tc>
        <w:tc>
          <w:tcPr>
            <w:tcW w:w="1084" w:type="dxa"/>
            <w:tcBorders>
              <w:top w:val="nil"/>
              <w:left w:val="nil"/>
              <w:bottom w:val="single" w:sz="4" w:space="0" w:color="auto"/>
              <w:right w:val="single" w:sz="4" w:space="0" w:color="auto"/>
            </w:tcBorders>
            <w:shd w:val="clear" w:color="auto" w:fill="auto"/>
            <w:noWrap/>
            <w:vAlign w:val="bottom"/>
            <w:hideMark/>
          </w:tcPr>
          <w:p w14:paraId="246D3861"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0.290</w:t>
            </w:r>
          </w:p>
        </w:tc>
        <w:tc>
          <w:tcPr>
            <w:tcW w:w="1084" w:type="dxa"/>
            <w:tcBorders>
              <w:top w:val="nil"/>
              <w:left w:val="nil"/>
              <w:bottom w:val="single" w:sz="4" w:space="0" w:color="auto"/>
              <w:right w:val="single" w:sz="4" w:space="0" w:color="auto"/>
            </w:tcBorders>
            <w:shd w:val="clear" w:color="auto" w:fill="auto"/>
            <w:noWrap/>
            <w:vAlign w:val="bottom"/>
            <w:hideMark/>
          </w:tcPr>
          <w:p w14:paraId="0D189F6F"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0.290</w:t>
            </w:r>
          </w:p>
        </w:tc>
        <w:tc>
          <w:tcPr>
            <w:tcW w:w="1120" w:type="dxa"/>
            <w:tcBorders>
              <w:top w:val="nil"/>
              <w:left w:val="nil"/>
              <w:bottom w:val="single" w:sz="4" w:space="0" w:color="auto"/>
              <w:right w:val="single" w:sz="4" w:space="0" w:color="auto"/>
            </w:tcBorders>
            <w:shd w:val="clear" w:color="auto" w:fill="auto"/>
            <w:noWrap/>
            <w:vAlign w:val="bottom"/>
            <w:hideMark/>
          </w:tcPr>
          <w:p w14:paraId="04A90FA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0.290</w:t>
            </w:r>
          </w:p>
        </w:tc>
      </w:tr>
      <w:tr w:rsidR="00786A5F" w:rsidRPr="003D2B87" w14:paraId="1438B6C7"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A4CE82B"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CAMHS</w:t>
            </w:r>
          </w:p>
        </w:tc>
        <w:tc>
          <w:tcPr>
            <w:tcW w:w="1084" w:type="dxa"/>
            <w:tcBorders>
              <w:top w:val="nil"/>
              <w:left w:val="nil"/>
              <w:bottom w:val="single" w:sz="4" w:space="0" w:color="auto"/>
              <w:right w:val="single" w:sz="4" w:space="0" w:color="auto"/>
            </w:tcBorders>
            <w:shd w:val="clear" w:color="auto" w:fill="AEAAAA"/>
            <w:noWrap/>
            <w:vAlign w:val="bottom"/>
            <w:hideMark/>
          </w:tcPr>
          <w:p w14:paraId="0373A6DF"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0.251</w:t>
            </w:r>
          </w:p>
        </w:tc>
        <w:tc>
          <w:tcPr>
            <w:tcW w:w="1084" w:type="dxa"/>
            <w:tcBorders>
              <w:top w:val="nil"/>
              <w:left w:val="nil"/>
              <w:bottom w:val="single" w:sz="4" w:space="0" w:color="auto"/>
              <w:right w:val="single" w:sz="4" w:space="0" w:color="auto"/>
            </w:tcBorders>
            <w:shd w:val="clear" w:color="auto" w:fill="auto"/>
            <w:noWrap/>
            <w:vAlign w:val="bottom"/>
            <w:hideMark/>
          </w:tcPr>
          <w:p w14:paraId="06D5660C"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0.251</w:t>
            </w:r>
          </w:p>
        </w:tc>
        <w:tc>
          <w:tcPr>
            <w:tcW w:w="1084" w:type="dxa"/>
            <w:tcBorders>
              <w:top w:val="nil"/>
              <w:left w:val="nil"/>
              <w:bottom w:val="single" w:sz="4" w:space="0" w:color="auto"/>
              <w:right w:val="single" w:sz="4" w:space="0" w:color="auto"/>
            </w:tcBorders>
            <w:shd w:val="clear" w:color="auto" w:fill="auto"/>
            <w:noWrap/>
            <w:vAlign w:val="bottom"/>
            <w:hideMark/>
          </w:tcPr>
          <w:p w14:paraId="43B89434"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0.251</w:t>
            </w:r>
          </w:p>
        </w:tc>
        <w:tc>
          <w:tcPr>
            <w:tcW w:w="1084" w:type="dxa"/>
            <w:tcBorders>
              <w:top w:val="nil"/>
              <w:left w:val="nil"/>
              <w:bottom w:val="single" w:sz="4" w:space="0" w:color="auto"/>
              <w:right w:val="single" w:sz="4" w:space="0" w:color="auto"/>
            </w:tcBorders>
            <w:shd w:val="clear" w:color="auto" w:fill="auto"/>
            <w:noWrap/>
            <w:vAlign w:val="bottom"/>
            <w:hideMark/>
          </w:tcPr>
          <w:p w14:paraId="1B1A716D"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0.251</w:t>
            </w:r>
          </w:p>
        </w:tc>
        <w:tc>
          <w:tcPr>
            <w:tcW w:w="1084" w:type="dxa"/>
            <w:tcBorders>
              <w:top w:val="nil"/>
              <w:left w:val="nil"/>
              <w:bottom w:val="single" w:sz="4" w:space="0" w:color="auto"/>
              <w:right w:val="single" w:sz="4" w:space="0" w:color="auto"/>
            </w:tcBorders>
            <w:shd w:val="clear" w:color="auto" w:fill="auto"/>
            <w:noWrap/>
            <w:vAlign w:val="bottom"/>
            <w:hideMark/>
          </w:tcPr>
          <w:p w14:paraId="607E109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0.251</w:t>
            </w:r>
          </w:p>
        </w:tc>
        <w:tc>
          <w:tcPr>
            <w:tcW w:w="1120" w:type="dxa"/>
            <w:tcBorders>
              <w:top w:val="nil"/>
              <w:left w:val="nil"/>
              <w:bottom w:val="single" w:sz="4" w:space="0" w:color="auto"/>
              <w:right w:val="single" w:sz="4" w:space="0" w:color="auto"/>
            </w:tcBorders>
            <w:shd w:val="clear" w:color="auto" w:fill="auto"/>
            <w:noWrap/>
            <w:vAlign w:val="bottom"/>
            <w:hideMark/>
          </w:tcPr>
          <w:p w14:paraId="5F4FD203"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0.251</w:t>
            </w:r>
          </w:p>
        </w:tc>
      </w:tr>
      <w:tr w:rsidR="00786A5F" w:rsidRPr="003D2B87" w14:paraId="21F2002F"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EC8A32B"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LA Posts</w:t>
            </w:r>
          </w:p>
        </w:tc>
        <w:tc>
          <w:tcPr>
            <w:tcW w:w="1084" w:type="dxa"/>
            <w:tcBorders>
              <w:top w:val="nil"/>
              <w:left w:val="nil"/>
              <w:bottom w:val="single" w:sz="4" w:space="0" w:color="auto"/>
              <w:right w:val="single" w:sz="4" w:space="0" w:color="auto"/>
            </w:tcBorders>
            <w:shd w:val="clear" w:color="auto" w:fill="AEAAAA"/>
            <w:noWrap/>
            <w:vAlign w:val="bottom"/>
            <w:hideMark/>
          </w:tcPr>
          <w:p w14:paraId="52288F46"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0.774</w:t>
            </w:r>
          </w:p>
        </w:tc>
        <w:tc>
          <w:tcPr>
            <w:tcW w:w="1084" w:type="dxa"/>
            <w:tcBorders>
              <w:top w:val="nil"/>
              <w:left w:val="nil"/>
              <w:bottom w:val="single" w:sz="4" w:space="0" w:color="auto"/>
              <w:right w:val="single" w:sz="4" w:space="0" w:color="auto"/>
            </w:tcBorders>
            <w:shd w:val="clear" w:color="auto" w:fill="auto"/>
            <w:noWrap/>
            <w:vAlign w:val="bottom"/>
            <w:hideMark/>
          </w:tcPr>
          <w:p w14:paraId="790D446C"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0.774</w:t>
            </w:r>
          </w:p>
        </w:tc>
        <w:tc>
          <w:tcPr>
            <w:tcW w:w="1084" w:type="dxa"/>
            <w:tcBorders>
              <w:top w:val="nil"/>
              <w:left w:val="nil"/>
              <w:bottom w:val="single" w:sz="4" w:space="0" w:color="auto"/>
              <w:right w:val="single" w:sz="4" w:space="0" w:color="auto"/>
            </w:tcBorders>
            <w:shd w:val="clear" w:color="auto" w:fill="auto"/>
            <w:noWrap/>
            <w:vAlign w:val="bottom"/>
            <w:hideMark/>
          </w:tcPr>
          <w:p w14:paraId="0D06D4D4"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0.774</w:t>
            </w:r>
          </w:p>
        </w:tc>
        <w:tc>
          <w:tcPr>
            <w:tcW w:w="1084" w:type="dxa"/>
            <w:tcBorders>
              <w:top w:val="nil"/>
              <w:left w:val="nil"/>
              <w:bottom w:val="single" w:sz="4" w:space="0" w:color="auto"/>
              <w:right w:val="single" w:sz="4" w:space="0" w:color="auto"/>
            </w:tcBorders>
            <w:shd w:val="clear" w:color="auto" w:fill="auto"/>
            <w:noWrap/>
            <w:vAlign w:val="bottom"/>
            <w:hideMark/>
          </w:tcPr>
          <w:p w14:paraId="5A1F8A94"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0.774</w:t>
            </w:r>
          </w:p>
        </w:tc>
        <w:tc>
          <w:tcPr>
            <w:tcW w:w="1084" w:type="dxa"/>
            <w:tcBorders>
              <w:top w:val="nil"/>
              <w:left w:val="nil"/>
              <w:bottom w:val="single" w:sz="4" w:space="0" w:color="auto"/>
              <w:right w:val="single" w:sz="4" w:space="0" w:color="auto"/>
            </w:tcBorders>
            <w:shd w:val="clear" w:color="auto" w:fill="auto"/>
            <w:noWrap/>
            <w:vAlign w:val="bottom"/>
            <w:hideMark/>
          </w:tcPr>
          <w:p w14:paraId="07142723"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0.774</w:t>
            </w:r>
          </w:p>
        </w:tc>
        <w:tc>
          <w:tcPr>
            <w:tcW w:w="1120" w:type="dxa"/>
            <w:tcBorders>
              <w:top w:val="nil"/>
              <w:left w:val="nil"/>
              <w:bottom w:val="single" w:sz="4" w:space="0" w:color="auto"/>
              <w:right w:val="single" w:sz="4" w:space="0" w:color="auto"/>
            </w:tcBorders>
            <w:shd w:val="clear" w:color="auto" w:fill="auto"/>
            <w:noWrap/>
            <w:vAlign w:val="bottom"/>
            <w:hideMark/>
          </w:tcPr>
          <w:p w14:paraId="2B2E1540"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0.774</w:t>
            </w:r>
          </w:p>
        </w:tc>
      </w:tr>
      <w:tr w:rsidR="00786A5F" w:rsidRPr="003D2B87" w14:paraId="5E427B81"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BFDCCEF"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Fines Income *</w:t>
            </w:r>
          </w:p>
        </w:tc>
        <w:tc>
          <w:tcPr>
            <w:tcW w:w="1084" w:type="dxa"/>
            <w:tcBorders>
              <w:top w:val="nil"/>
              <w:left w:val="nil"/>
              <w:bottom w:val="single" w:sz="4" w:space="0" w:color="auto"/>
              <w:right w:val="single" w:sz="4" w:space="0" w:color="auto"/>
            </w:tcBorders>
            <w:shd w:val="clear" w:color="auto" w:fill="AEAAAA"/>
            <w:noWrap/>
            <w:vAlign w:val="bottom"/>
            <w:hideMark/>
          </w:tcPr>
          <w:p w14:paraId="32ABE011"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-0.999</w:t>
            </w:r>
          </w:p>
        </w:tc>
        <w:tc>
          <w:tcPr>
            <w:tcW w:w="1084" w:type="dxa"/>
            <w:tcBorders>
              <w:top w:val="nil"/>
              <w:left w:val="nil"/>
              <w:bottom w:val="single" w:sz="4" w:space="0" w:color="auto"/>
              <w:right w:val="single" w:sz="4" w:space="0" w:color="auto"/>
            </w:tcBorders>
            <w:shd w:val="clear" w:color="auto" w:fill="auto"/>
            <w:noWrap/>
            <w:vAlign w:val="bottom"/>
            <w:hideMark/>
          </w:tcPr>
          <w:p w14:paraId="06BFAD98"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-0.900</w:t>
            </w:r>
          </w:p>
        </w:tc>
        <w:tc>
          <w:tcPr>
            <w:tcW w:w="1084" w:type="dxa"/>
            <w:tcBorders>
              <w:top w:val="nil"/>
              <w:left w:val="nil"/>
              <w:bottom w:val="single" w:sz="4" w:space="0" w:color="auto"/>
              <w:right w:val="single" w:sz="4" w:space="0" w:color="auto"/>
            </w:tcBorders>
            <w:shd w:val="clear" w:color="auto" w:fill="auto"/>
            <w:noWrap/>
            <w:vAlign w:val="bottom"/>
            <w:hideMark/>
          </w:tcPr>
          <w:p w14:paraId="0273434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-0.900</w:t>
            </w:r>
          </w:p>
        </w:tc>
        <w:tc>
          <w:tcPr>
            <w:tcW w:w="1084" w:type="dxa"/>
            <w:tcBorders>
              <w:top w:val="nil"/>
              <w:left w:val="nil"/>
              <w:bottom w:val="single" w:sz="4" w:space="0" w:color="auto"/>
              <w:right w:val="single" w:sz="4" w:space="0" w:color="auto"/>
            </w:tcBorders>
            <w:shd w:val="clear" w:color="auto" w:fill="auto"/>
            <w:noWrap/>
            <w:vAlign w:val="bottom"/>
            <w:hideMark/>
          </w:tcPr>
          <w:p w14:paraId="1AE921A9"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-0.900</w:t>
            </w:r>
          </w:p>
        </w:tc>
        <w:tc>
          <w:tcPr>
            <w:tcW w:w="1084" w:type="dxa"/>
            <w:tcBorders>
              <w:top w:val="nil"/>
              <w:left w:val="nil"/>
              <w:bottom w:val="single" w:sz="4" w:space="0" w:color="auto"/>
              <w:right w:val="single" w:sz="4" w:space="0" w:color="auto"/>
            </w:tcBorders>
            <w:shd w:val="clear" w:color="auto" w:fill="auto"/>
            <w:noWrap/>
            <w:vAlign w:val="bottom"/>
            <w:hideMark/>
          </w:tcPr>
          <w:p w14:paraId="7CBD1793"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-0.900</w:t>
            </w:r>
          </w:p>
        </w:tc>
        <w:tc>
          <w:tcPr>
            <w:tcW w:w="1120" w:type="dxa"/>
            <w:tcBorders>
              <w:top w:val="nil"/>
              <w:left w:val="nil"/>
              <w:bottom w:val="single" w:sz="4" w:space="0" w:color="auto"/>
              <w:right w:val="single" w:sz="4" w:space="0" w:color="auto"/>
            </w:tcBorders>
            <w:shd w:val="clear" w:color="auto" w:fill="auto"/>
            <w:noWrap/>
            <w:vAlign w:val="bottom"/>
            <w:hideMark/>
          </w:tcPr>
          <w:p w14:paraId="7D3E68AC"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-0.900</w:t>
            </w:r>
          </w:p>
        </w:tc>
      </w:tr>
      <w:tr w:rsidR="00786A5F" w:rsidRPr="003D2B87" w14:paraId="25EB4BAF"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788E8CB"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Other services</w:t>
            </w:r>
          </w:p>
        </w:tc>
        <w:tc>
          <w:tcPr>
            <w:tcW w:w="1084" w:type="dxa"/>
            <w:tcBorders>
              <w:top w:val="nil"/>
              <w:left w:val="nil"/>
              <w:bottom w:val="single" w:sz="4" w:space="0" w:color="auto"/>
              <w:right w:val="single" w:sz="4" w:space="0" w:color="auto"/>
            </w:tcBorders>
            <w:shd w:val="clear" w:color="auto" w:fill="AEAAAA"/>
            <w:noWrap/>
            <w:vAlign w:val="bottom"/>
            <w:hideMark/>
          </w:tcPr>
          <w:p w14:paraId="1A5780ED"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0.447</w:t>
            </w:r>
          </w:p>
        </w:tc>
        <w:tc>
          <w:tcPr>
            <w:tcW w:w="1084" w:type="dxa"/>
            <w:tcBorders>
              <w:top w:val="nil"/>
              <w:left w:val="nil"/>
              <w:bottom w:val="single" w:sz="4" w:space="0" w:color="auto"/>
              <w:right w:val="single" w:sz="4" w:space="0" w:color="auto"/>
            </w:tcBorders>
            <w:shd w:val="clear" w:color="auto" w:fill="auto"/>
            <w:noWrap/>
            <w:vAlign w:val="bottom"/>
            <w:hideMark/>
          </w:tcPr>
          <w:p w14:paraId="29F9BB06"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0.447</w:t>
            </w:r>
          </w:p>
        </w:tc>
        <w:tc>
          <w:tcPr>
            <w:tcW w:w="1084" w:type="dxa"/>
            <w:tcBorders>
              <w:top w:val="nil"/>
              <w:left w:val="nil"/>
              <w:bottom w:val="single" w:sz="4" w:space="0" w:color="auto"/>
              <w:right w:val="single" w:sz="4" w:space="0" w:color="auto"/>
            </w:tcBorders>
            <w:shd w:val="clear" w:color="auto" w:fill="auto"/>
            <w:noWrap/>
            <w:vAlign w:val="bottom"/>
            <w:hideMark/>
          </w:tcPr>
          <w:p w14:paraId="6C888E1F"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0.447</w:t>
            </w:r>
          </w:p>
        </w:tc>
        <w:tc>
          <w:tcPr>
            <w:tcW w:w="1084" w:type="dxa"/>
            <w:tcBorders>
              <w:top w:val="nil"/>
              <w:left w:val="nil"/>
              <w:bottom w:val="single" w:sz="4" w:space="0" w:color="auto"/>
              <w:right w:val="single" w:sz="4" w:space="0" w:color="auto"/>
            </w:tcBorders>
            <w:shd w:val="clear" w:color="auto" w:fill="auto"/>
            <w:noWrap/>
            <w:vAlign w:val="bottom"/>
            <w:hideMark/>
          </w:tcPr>
          <w:p w14:paraId="4DC13D43"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0.447</w:t>
            </w:r>
          </w:p>
        </w:tc>
        <w:tc>
          <w:tcPr>
            <w:tcW w:w="1084" w:type="dxa"/>
            <w:tcBorders>
              <w:top w:val="nil"/>
              <w:left w:val="nil"/>
              <w:bottom w:val="single" w:sz="4" w:space="0" w:color="auto"/>
              <w:right w:val="single" w:sz="4" w:space="0" w:color="auto"/>
            </w:tcBorders>
            <w:shd w:val="clear" w:color="auto" w:fill="auto"/>
            <w:noWrap/>
            <w:vAlign w:val="bottom"/>
            <w:hideMark/>
          </w:tcPr>
          <w:p w14:paraId="095812E1"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0.447</w:t>
            </w:r>
          </w:p>
        </w:tc>
        <w:tc>
          <w:tcPr>
            <w:tcW w:w="1120" w:type="dxa"/>
            <w:tcBorders>
              <w:top w:val="nil"/>
              <w:left w:val="nil"/>
              <w:bottom w:val="single" w:sz="4" w:space="0" w:color="auto"/>
              <w:right w:val="single" w:sz="4" w:space="0" w:color="auto"/>
            </w:tcBorders>
            <w:shd w:val="clear" w:color="auto" w:fill="auto"/>
            <w:noWrap/>
            <w:vAlign w:val="bottom"/>
            <w:hideMark/>
          </w:tcPr>
          <w:p w14:paraId="12D8E58F"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0.447</w:t>
            </w:r>
          </w:p>
        </w:tc>
      </w:tr>
      <w:tr w:rsidR="00786A5F" w:rsidRPr="003D2B87" w14:paraId="1ED1C953"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EC33CE9"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Repay overdrawn position</w:t>
            </w:r>
          </w:p>
        </w:tc>
        <w:tc>
          <w:tcPr>
            <w:tcW w:w="1084" w:type="dxa"/>
            <w:tcBorders>
              <w:top w:val="nil"/>
              <w:left w:val="nil"/>
              <w:bottom w:val="single" w:sz="4" w:space="0" w:color="auto"/>
              <w:right w:val="single" w:sz="4" w:space="0" w:color="auto"/>
            </w:tcBorders>
            <w:shd w:val="clear" w:color="auto" w:fill="AEAAAA"/>
            <w:noWrap/>
            <w:vAlign w:val="bottom"/>
            <w:hideMark/>
          </w:tcPr>
          <w:p w14:paraId="3304834C"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4F2DCD7B"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2B30BD7A"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top w:val="nil"/>
              <w:left w:val="nil"/>
              <w:bottom w:val="single" w:sz="4" w:space="0" w:color="auto"/>
              <w:right w:val="single" w:sz="4" w:space="0" w:color="auto"/>
            </w:tcBorders>
            <w:shd w:val="clear" w:color="auto" w:fill="auto"/>
            <w:noWrap/>
            <w:vAlign w:val="bottom"/>
            <w:hideMark/>
          </w:tcPr>
          <w:p w14:paraId="07E1CA57"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2.300</w:t>
            </w:r>
          </w:p>
        </w:tc>
        <w:tc>
          <w:tcPr>
            <w:tcW w:w="1084" w:type="dxa"/>
            <w:tcBorders>
              <w:top w:val="nil"/>
              <w:left w:val="nil"/>
              <w:bottom w:val="single" w:sz="4" w:space="0" w:color="auto"/>
              <w:right w:val="single" w:sz="4" w:space="0" w:color="auto"/>
            </w:tcBorders>
            <w:shd w:val="clear" w:color="auto" w:fill="auto"/>
            <w:noWrap/>
            <w:vAlign w:val="bottom"/>
            <w:hideMark/>
          </w:tcPr>
          <w:p w14:paraId="7C1C16FC"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4.600</w:t>
            </w:r>
          </w:p>
        </w:tc>
        <w:tc>
          <w:tcPr>
            <w:tcW w:w="1120" w:type="dxa"/>
            <w:tcBorders>
              <w:top w:val="nil"/>
              <w:left w:val="nil"/>
              <w:bottom w:val="single" w:sz="4" w:space="0" w:color="auto"/>
              <w:right w:val="single" w:sz="4" w:space="0" w:color="auto"/>
            </w:tcBorders>
            <w:shd w:val="clear" w:color="auto" w:fill="auto"/>
            <w:noWrap/>
            <w:vAlign w:val="bottom"/>
            <w:hideMark/>
          </w:tcPr>
          <w:p w14:paraId="5CAAC844"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6.700</w:t>
            </w:r>
          </w:p>
        </w:tc>
      </w:tr>
      <w:tr w:rsidR="00786A5F" w:rsidRPr="003D2B87" w14:paraId="5CA13B07" w14:textId="77777777" w:rsidTr="00786A5F">
        <w:trPr>
          <w:trHeight w:val="300"/>
        </w:trPr>
        <w:tc>
          <w:tcPr>
            <w:tcW w:w="4120" w:type="dxa"/>
            <w:tcBorders>
              <w:top w:val="single" w:sz="4" w:space="0" w:color="auto"/>
              <w:left w:val="single" w:sz="4" w:space="0" w:color="auto"/>
              <w:right w:val="single" w:sz="4" w:space="0" w:color="auto"/>
            </w:tcBorders>
            <w:shd w:val="clear" w:color="auto" w:fill="262626"/>
            <w:noWrap/>
            <w:vAlign w:val="bottom"/>
            <w:hideMark/>
          </w:tcPr>
          <w:p w14:paraId="712528DA" w14:textId="77777777" w:rsidR="00786A5F" w:rsidRPr="003D2B87" w:rsidRDefault="00786A5F" w:rsidP="00786A5F">
            <w:pPr>
              <w:rPr>
                <w:rFonts w:ascii="Arial" w:hAnsi="Arial" w:cs="Arial"/>
                <w:b/>
                <w:color w:val="FFFFFF"/>
                <w:szCs w:val="20"/>
                <w:lang w:eastAsia="en-GB"/>
              </w:rPr>
            </w:pPr>
            <w:r w:rsidRPr="003D2B87">
              <w:rPr>
                <w:rFonts w:ascii="Arial" w:hAnsi="Arial" w:cs="Arial"/>
                <w:b/>
                <w:color w:val="FFFFFF"/>
                <w:szCs w:val="20"/>
                <w:lang w:eastAsia="en-GB"/>
              </w:rPr>
              <w:lastRenderedPageBreak/>
              <w:t>Total expenditure</w:t>
            </w:r>
          </w:p>
        </w:tc>
        <w:tc>
          <w:tcPr>
            <w:tcW w:w="1084" w:type="dxa"/>
            <w:tcBorders>
              <w:top w:val="single" w:sz="4" w:space="0" w:color="auto"/>
              <w:left w:val="nil"/>
              <w:right w:val="single" w:sz="4" w:space="0" w:color="auto"/>
            </w:tcBorders>
            <w:shd w:val="clear" w:color="auto" w:fill="262626"/>
            <w:noWrap/>
            <w:hideMark/>
          </w:tcPr>
          <w:p w14:paraId="399D19C6" w14:textId="77777777" w:rsidR="00786A5F" w:rsidRPr="003D2B87" w:rsidRDefault="00786A5F" w:rsidP="00786A5F">
            <w:pPr>
              <w:jc w:val="center"/>
              <w:rPr>
                <w:rFonts w:ascii="Arial" w:hAnsi="Arial" w:cs="Arial"/>
                <w:b/>
                <w:color w:val="FFFFFF"/>
                <w:szCs w:val="20"/>
                <w:lang w:eastAsia="en-GB"/>
              </w:rPr>
            </w:pPr>
            <w:r w:rsidRPr="003D2B87">
              <w:rPr>
                <w:rFonts w:ascii="Arial" w:hAnsi="Arial" w:cs="Arial"/>
                <w:b/>
                <w:color w:val="FFFFFF"/>
                <w:szCs w:val="20"/>
                <w:lang w:eastAsia="en-GB"/>
              </w:rPr>
              <w:t>89.722</w:t>
            </w:r>
          </w:p>
        </w:tc>
        <w:tc>
          <w:tcPr>
            <w:tcW w:w="1084" w:type="dxa"/>
            <w:tcBorders>
              <w:top w:val="single" w:sz="4" w:space="0" w:color="auto"/>
              <w:left w:val="nil"/>
              <w:right w:val="single" w:sz="4" w:space="0" w:color="auto"/>
            </w:tcBorders>
            <w:shd w:val="clear" w:color="auto" w:fill="262626"/>
            <w:noWrap/>
            <w:hideMark/>
          </w:tcPr>
          <w:p w14:paraId="5AF28E08" w14:textId="77777777" w:rsidR="00786A5F" w:rsidRPr="003D2B87" w:rsidRDefault="00786A5F" w:rsidP="00786A5F">
            <w:pPr>
              <w:jc w:val="center"/>
              <w:rPr>
                <w:rFonts w:ascii="Arial" w:hAnsi="Arial" w:cs="Arial"/>
                <w:b/>
                <w:color w:val="FFFFFF"/>
                <w:szCs w:val="20"/>
                <w:lang w:eastAsia="en-GB"/>
              </w:rPr>
            </w:pPr>
            <w:r w:rsidRPr="003D2B87">
              <w:rPr>
                <w:rFonts w:ascii="Arial" w:hAnsi="Arial" w:cs="Arial"/>
                <w:b/>
                <w:color w:val="FFFFFF"/>
                <w:szCs w:val="20"/>
                <w:lang w:eastAsia="en-GB"/>
              </w:rPr>
              <w:t>95.907</w:t>
            </w:r>
          </w:p>
        </w:tc>
        <w:tc>
          <w:tcPr>
            <w:tcW w:w="1084" w:type="dxa"/>
            <w:tcBorders>
              <w:top w:val="single" w:sz="4" w:space="0" w:color="auto"/>
              <w:left w:val="nil"/>
              <w:right w:val="single" w:sz="4" w:space="0" w:color="auto"/>
            </w:tcBorders>
            <w:shd w:val="clear" w:color="auto" w:fill="262626"/>
            <w:noWrap/>
            <w:hideMark/>
          </w:tcPr>
          <w:p w14:paraId="263F9F3A" w14:textId="77777777" w:rsidR="00786A5F" w:rsidRPr="003D2B87" w:rsidRDefault="00786A5F" w:rsidP="00786A5F">
            <w:pPr>
              <w:rPr>
                <w:rFonts w:ascii="Arial" w:eastAsia="Calibri" w:hAnsi="Arial" w:cs="Arial"/>
                <w:szCs w:val="20"/>
              </w:rPr>
            </w:pPr>
            <w:r w:rsidRPr="003D2B87">
              <w:rPr>
                <w:rFonts w:ascii="Arial" w:eastAsia="Calibri" w:hAnsi="Arial" w:cs="Arial"/>
                <w:szCs w:val="20"/>
              </w:rPr>
              <w:t>95.244</w:t>
            </w:r>
          </w:p>
        </w:tc>
        <w:tc>
          <w:tcPr>
            <w:tcW w:w="1084" w:type="dxa"/>
            <w:tcBorders>
              <w:top w:val="single" w:sz="4" w:space="0" w:color="auto"/>
              <w:left w:val="nil"/>
              <w:right w:val="single" w:sz="4" w:space="0" w:color="auto"/>
            </w:tcBorders>
            <w:shd w:val="clear" w:color="auto" w:fill="262626"/>
            <w:noWrap/>
            <w:hideMark/>
          </w:tcPr>
          <w:p w14:paraId="71CC3122" w14:textId="77777777" w:rsidR="00786A5F" w:rsidRPr="003D2B87" w:rsidRDefault="00786A5F" w:rsidP="00786A5F">
            <w:pPr>
              <w:rPr>
                <w:rFonts w:ascii="Arial" w:eastAsia="Calibri" w:hAnsi="Arial" w:cs="Arial"/>
                <w:szCs w:val="20"/>
              </w:rPr>
            </w:pPr>
            <w:r w:rsidRPr="003D2B87">
              <w:rPr>
                <w:rFonts w:ascii="Arial" w:eastAsia="Calibri" w:hAnsi="Arial" w:cs="Arial"/>
                <w:szCs w:val="20"/>
              </w:rPr>
              <w:t>92.614</w:t>
            </w:r>
          </w:p>
        </w:tc>
        <w:tc>
          <w:tcPr>
            <w:tcW w:w="1084" w:type="dxa"/>
            <w:tcBorders>
              <w:top w:val="single" w:sz="4" w:space="0" w:color="auto"/>
              <w:left w:val="nil"/>
              <w:right w:val="single" w:sz="4" w:space="0" w:color="auto"/>
            </w:tcBorders>
            <w:shd w:val="clear" w:color="auto" w:fill="262626"/>
            <w:noWrap/>
            <w:hideMark/>
          </w:tcPr>
          <w:p w14:paraId="4185E6FA" w14:textId="77777777" w:rsidR="00786A5F" w:rsidRPr="003D2B87" w:rsidRDefault="00786A5F" w:rsidP="00786A5F">
            <w:pPr>
              <w:rPr>
                <w:rFonts w:ascii="Arial" w:eastAsia="Calibri" w:hAnsi="Arial" w:cs="Arial"/>
                <w:szCs w:val="20"/>
              </w:rPr>
            </w:pPr>
            <w:r w:rsidRPr="003D2B87">
              <w:rPr>
                <w:rFonts w:ascii="Arial" w:eastAsia="Calibri" w:hAnsi="Arial" w:cs="Arial"/>
                <w:szCs w:val="20"/>
              </w:rPr>
              <w:t>93.545</w:t>
            </w:r>
          </w:p>
        </w:tc>
        <w:tc>
          <w:tcPr>
            <w:tcW w:w="1120" w:type="dxa"/>
            <w:tcBorders>
              <w:top w:val="single" w:sz="4" w:space="0" w:color="auto"/>
              <w:left w:val="nil"/>
              <w:right w:val="single" w:sz="4" w:space="0" w:color="auto"/>
            </w:tcBorders>
            <w:shd w:val="clear" w:color="auto" w:fill="262626"/>
            <w:noWrap/>
            <w:hideMark/>
          </w:tcPr>
          <w:p w14:paraId="48FAE7F3" w14:textId="77777777" w:rsidR="00786A5F" w:rsidRPr="003D2B87" w:rsidRDefault="00786A5F" w:rsidP="00786A5F">
            <w:pPr>
              <w:rPr>
                <w:rFonts w:ascii="Arial" w:eastAsia="Calibri" w:hAnsi="Arial" w:cs="Arial"/>
                <w:szCs w:val="20"/>
              </w:rPr>
            </w:pPr>
            <w:r w:rsidRPr="003D2B87">
              <w:rPr>
                <w:rFonts w:ascii="Arial" w:eastAsia="Calibri" w:hAnsi="Arial" w:cs="Arial"/>
                <w:szCs w:val="20"/>
              </w:rPr>
              <w:t>94.378</w:t>
            </w:r>
          </w:p>
        </w:tc>
      </w:tr>
      <w:tr w:rsidR="00786A5F" w:rsidRPr="003D2B87" w14:paraId="4291DA0A" w14:textId="77777777" w:rsidTr="00786A5F">
        <w:trPr>
          <w:trHeight w:val="110"/>
        </w:trPr>
        <w:tc>
          <w:tcPr>
            <w:tcW w:w="4120" w:type="dxa"/>
            <w:tcBorders>
              <w:left w:val="single" w:sz="4" w:space="0" w:color="auto"/>
              <w:bottom w:val="single" w:sz="4" w:space="0" w:color="auto"/>
              <w:right w:val="single" w:sz="4" w:space="0" w:color="auto"/>
            </w:tcBorders>
            <w:shd w:val="clear" w:color="auto" w:fill="auto"/>
            <w:noWrap/>
            <w:vAlign w:val="bottom"/>
            <w:hideMark/>
          </w:tcPr>
          <w:p w14:paraId="30626F02" w14:textId="77777777" w:rsidR="00786A5F" w:rsidRPr="003D2B87" w:rsidRDefault="00786A5F" w:rsidP="00786A5F">
            <w:pP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left w:val="nil"/>
              <w:bottom w:val="single" w:sz="4" w:space="0" w:color="auto"/>
              <w:right w:val="single" w:sz="4" w:space="0" w:color="auto"/>
            </w:tcBorders>
            <w:shd w:val="clear" w:color="auto" w:fill="AEAAAA"/>
            <w:noWrap/>
            <w:vAlign w:val="bottom"/>
            <w:hideMark/>
          </w:tcPr>
          <w:p w14:paraId="4B49760B"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left w:val="nil"/>
              <w:bottom w:val="single" w:sz="4" w:space="0" w:color="auto"/>
              <w:right w:val="single" w:sz="4" w:space="0" w:color="auto"/>
            </w:tcBorders>
            <w:shd w:val="clear" w:color="auto" w:fill="auto"/>
            <w:noWrap/>
            <w:vAlign w:val="bottom"/>
            <w:hideMark/>
          </w:tcPr>
          <w:p w14:paraId="5C42676D"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left w:val="nil"/>
              <w:bottom w:val="single" w:sz="4" w:space="0" w:color="auto"/>
              <w:right w:val="single" w:sz="4" w:space="0" w:color="auto"/>
            </w:tcBorders>
            <w:shd w:val="clear" w:color="auto" w:fill="auto"/>
            <w:noWrap/>
            <w:vAlign w:val="bottom"/>
            <w:hideMark/>
          </w:tcPr>
          <w:p w14:paraId="7A869BDB"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left w:val="nil"/>
              <w:bottom w:val="single" w:sz="4" w:space="0" w:color="auto"/>
              <w:right w:val="single" w:sz="4" w:space="0" w:color="auto"/>
            </w:tcBorders>
            <w:shd w:val="clear" w:color="auto" w:fill="auto"/>
            <w:noWrap/>
            <w:vAlign w:val="bottom"/>
            <w:hideMark/>
          </w:tcPr>
          <w:p w14:paraId="191629E8"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084" w:type="dxa"/>
            <w:tcBorders>
              <w:left w:val="nil"/>
              <w:bottom w:val="single" w:sz="4" w:space="0" w:color="auto"/>
              <w:right w:val="single" w:sz="4" w:space="0" w:color="auto"/>
            </w:tcBorders>
            <w:shd w:val="clear" w:color="auto" w:fill="auto"/>
            <w:noWrap/>
            <w:vAlign w:val="bottom"/>
            <w:hideMark/>
          </w:tcPr>
          <w:p w14:paraId="02525AD0"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c>
          <w:tcPr>
            <w:tcW w:w="1120" w:type="dxa"/>
            <w:tcBorders>
              <w:left w:val="nil"/>
              <w:bottom w:val="single" w:sz="4" w:space="0" w:color="auto"/>
              <w:right w:val="single" w:sz="4" w:space="0" w:color="auto"/>
            </w:tcBorders>
            <w:shd w:val="clear" w:color="auto" w:fill="auto"/>
            <w:noWrap/>
            <w:vAlign w:val="bottom"/>
            <w:hideMark/>
          </w:tcPr>
          <w:p w14:paraId="2C729383" w14:textId="77777777" w:rsidR="00786A5F" w:rsidRPr="003D2B87" w:rsidRDefault="00786A5F" w:rsidP="00786A5F">
            <w:pPr>
              <w:jc w:val="center"/>
              <w:rPr>
                <w:rFonts w:ascii="Arial" w:hAnsi="Arial" w:cs="Arial"/>
                <w:color w:val="000000"/>
                <w:szCs w:val="20"/>
                <w:lang w:eastAsia="en-GB"/>
              </w:rPr>
            </w:pPr>
            <w:r w:rsidRPr="003D2B87">
              <w:rPr>
                <w:rFonts w:ascii="Arial" w:hAnsi="Arial" w:cs="Arial"/>
                <w:color w:val="000000"/>
                <w:szCs w:val="20"/>
                <w:lang w:eastAsia="en-GB"/>
              </w:rPr>
              <w:t> </w:t>
            </w:r>
          </w:p>
        </w:tc>
      </w:tr>
      <w:tr w:rsidR="00786A5F" w:rsidRPr="003D2B87" w14:paraId="483CD1B7" w14:textId="77777777" w:rsidTr="00786A5F">
        <w:trPr>
          <w:trHeight w:val="300"/>
        </w:trPr>
        <w:tc>
          <w:tcPr>
            <w:tcW w:w="4120" w:type="dxa"/>
            <w:tcBorders>
              <w:top w:val="nil"/>
              <w:left w:val="single" w:sz="4" w:space="0" w:color="auto"/>
              <w:bottom w:val="single" w:sz="4" w:space="0" w:color="auto"/>
              <w:right w:val="single" w:sz="4" w:space="0" w:color="auto"/>
            </w:tcBorders>
            <w:shd w:val="clear" w:color="auto" w:fill="262626"/>
            <w:noWrap/>
            <w:vAlign w:val="bottom"/>
            <w:hideMark/>
          </w:tcPr>
          <w:p w14:paraId="70668D1E" w14:textId="77777777" w:rsidR="00786A5F" w:rsidRPr="003D2B87" w:rsidRDefault="00786A5F" w:rsidP="00786A5F">
            <w:pPr>
              <w:rPr>
                <w:rFonts w:ascii="Arial" w:hAnsi="Arial" w:cs="Arial"/>
                <w:b/>
                <w:color w:val="FFFFFF"/>
                <w:szCs w:val="20"/>
                <w:lang w:eastAsia="en-GB"/>
              </w:rPr>
            </w:pPr>
            <w:r w:rsidRPr="003D2B87">
              <w:rPr>
                <w:rFonts w:ascii="Arial" w:hAnsi="Arial" w:cs="Arial"/>
                <w:b/>
                <w:color w:val="FFFFFF"/>
                <w:szCs w:val="20"/>
                <w:lang w:eastAsia="en-GB"/>
              </w:rPr>
              <w:t>Surplus (+)/Deficit (-)</w:t>
            </w:r>
          </w:p>
        </w:tc>
        <w:tc>
          <w:tcPr>
            <w:tcW w:w="1084" w:type="dxa"/>
            <w:tcBorders>
              <w:top w:val="single" w:sz="4" w:space="0" w:color="auto"/>
              <w:left w:val="single" w:sz="4" w:space="0" w:color="auto"/>
              <w:bottom w:val="single" w:sz="4" w:space="0" w:color="auto"/>
              <w:right w:val="single" w:sz="4" w:space="0" w:color="auto"/>
            </w:tcBorders>
            <w:shd w:val="clear" w:color="auto" w:fill="262626"/>
            <w:noWrap/>
            <w:vAlign w:val="bottom"/>
            <w:hideMark/>
          </w:tcPr>
          <w:p w14:paraId="2940AFC9" w14:textId="77777777" w:rsidR="00786A5F" w:rsidRPr="003D2B87" w:rsidRDefault="00786A5F" w:rsidP="00786A5F">
            <w:pPr>
              <w:rPr>
                <w:rFonts w:ascii="Arial" w:hAnsi="Arial" w:cs="Arial"/>
                <w:b/>
                <w:color w:val="FFFFFF"/>
                <w:szCs w:val="20"/>
                <w:lang w:eastAsia="en-GB"/>
              </w:rPr>
            </w:pPr>
            <w:r w:rsidRPr="003D2B87">
              <w:rPr>
                <w:rFonts w:ascii="Arial" w:hAnsi="Arial" w:cs="Arial"/>
                <w:b/>
                <w:color w:val="FFFFFF"/>
                <w:szCs w:val="20"/>
                <w:lang w:eastAsia="en-GB"/>
              </w:rPr>
              <w:t>-2.804</w:t>
            </w:r>
          </w:p>
        </w:tc>
        <w:tc>
          <w:tcPr>
            <w:tcW w:w="1084" w:type="dxa"/>
            <w:tcBorders>
              <w:top w:val="single" w:sz="4" w:space="0" w:color="auto"/>
              <w:left w:val="nil"/>
              <w:bottom w:val="single" w:sz="4" w:space="0" w:color="auto"/>
              <w:right w:val="single" w:sz="4" w:space="0" w:color="auto"/>
            </w:tcBorders>
            <w:shd w:val="clear" w:color="auto" w:fill="262626"/>
            <w:noWrap/>
            <w:vAlign w:val="bottom"/>
            <w:hideMark/>
          </w:tcPr>
          <w:p w14:paraId="31A47D79" w14:textId="77777777" w:rsidR="00786A5F" w:rsidRPr="003D2B87" w:rsidRDefault="00786A5F" w:rsidP="00786A5F">
            <w:pPr>
              <w:rPr>
                <w:rFonts w:ascii="Arial" w:hAnsi="Arial" w:cs="Arial"/>
                <w:b/>
                <w:color w:val="FFFFFF"/>
                <w:szCs w:val="20"/>
                <w:lang w:eastAsia="en-GB"/>
              </w:rPr>
            </w:pPr>
            <w:r w:rsidRPr="003D2B87">
              <w:rPr>
                <w:rFonts w:ascii="Arial" w:hAnsi="Arial" w:cs="Arial"/>
                <w:b/>
                <w:color w:val="FFFFFF"/>
                <w:szCs w:val="20"/>
                <w:lang w:eastAsia="en-GB"/>
              </w:rPr>
              <w:t>-5.095</w:t>
            </w:r>
          </w:p>
        </w:tc>
        <w:tc>
          <w:tcPr>
            <w:tcW w:w="1084" w:type="dxa"/>
            <w:tcBorders>
              <w:top w:val="single" w:sz="4" w:space="0" w:color="auto"/>
              <w:left w:val="nil"/>
              <w:bottom w:val="single" w:sz="4" w:space="0" w:color="auto"/>
              <w:right w:val="single" w:sz="4" w:space="0" w:color="auto"/>
            </w:tcBorders>
            <w:shd w:val="clear" w:color="auto" w:fill="262626"/>
            <w:noWrap/>
            <w:hideMark/>
          </w:tcPr>
          <w:p w14:paraId="0E6E616D" w14:textId="77777777" w:rsidR="00786A5F" w:rsidRPr="003D2B87" w:rsidRDefault="00786A5F" w:rsidP="00786A5F">
            <w:pPr>
              <w:rPr>
                <w:rFonts w:ascii="Arial" w:hAnsi="Arial" w:cs="Arial"/>
                <w:b/>
                <w:color w:val="FFFFFF"/>
                <w:szCs w:val="20"/>
                <w:lang w:eastAsia="en-GB"/>
              </w:rPr>
            </w:pPr>
            <w:r w:rsidRPr="003D2B87">
              <w:rPr>
                <w:rFonts w:ascii="Arial" w:hAnsi="Arial" w:cs="Arial"/>
                <w:b/>
                <w:color w:val="FFFFFF"/>
                <w:szCs w:val="20"/>
                <w:lang w:eastAsia="en-GB"/>
              </w:rPr>
              <w:t>-3.390</w:t>
            </w:r>
          </w:p>
        </w:tc>
        <w:tc>
          <w:tcPr>
            <w:tcW w:w="1084" w:type="dxa"/>
            <w:tcBorders>
              <w:top w:val="single" w:sz="4" w:space="0" w:color="auto"/>
              <w:left w:val="nil"/>
              <w:bottom w:val="single" w:sz="4" w:space="0" w:color="auto"/>
              <w:right w:val="single" w:sz="4" w:space="0" w:color="auto"/>
            </w:tcBorders>
            <w:shd w:val="clear" w:color="auto" w:fill="262626"/>
            <w:noWrap/>
            <w:hideMark/>
          </w:tcPr>
          <w:p w14:paraId="3B9C5D9A" w14:textId="77777777" w:rsidR="00786A5F" w:rsidRPr="003D2B87" w:rsidRDefault="00786A5F" w:rsidP="00786A5F">
            <w:pPr>
              <w:rPr>
                <w:rFonts w:ascii="Arial" w:hAnsi="Arial" w:cs="Arial"/>
                <w:b/>
                <w:color w:val="FFFFFF"/>
                <w:szCs w:val="20"/>
                <w:lang w:eastAsia="en-GB"/>
              </w:rPr>
            </w:pPr>
            <w:r w:rsidRPr="003D2B87">
              <w:rPr>
                <w:rFonts w:ascii="Arial" w:hAnsi="Arial" w:cs="Arial"/>
                <w:b/>
                <w:color w:val="FFFFFF"/>
                <w:szCs w:val="20"/>
                <w:lang w:eastAsia="en-GB"/>
              </w:rPr>
              <w:t>0.089</w:t>
            </w:r>
          </w:p>
        </w:tc>
        <w:tc>
          <w:tcPr>
            <w:tcW w:w="1084" w:type="dxa"/>
            <w:tcBorders>
              <w:top w:val="single" w:sz="4" w:space="0" w:color="auto"/>
              <w:left w:val="nil"/>
              <w:bottom w:val="single" w:sz="4" w:space="0" w:color="auto"/>
              <w:right w:val="single" w:sz="4" w:space="0" w:color="auto"/>
            </w:tcBorders>
            <w:shd w:val="clear" w:color="auto" w:fill="262626"/>
            <w:noWrap/>
            <w:hideMark/>
          </w:tcPr>
          <w:p w14:paraId="78BFAFF6" w14:textId="77777777" w:rsidR="00786A5F" w:rsidRPr="003D2B87" w:rsidRDefault="00786A5F" w:rsidP="00786A5F">
            <w:pPr>
              <w:rPr>
                <w:rFonts w:ascii="Arial" w:hAnsi="Arial" w:cs="Arial"/>
                <w:b/>
                <w:color w:val="FFFFFF"/>
                <w:szCs w:val="20"/>
                <w:lang w:eastAsia="en-GB"/>
              </w:rPr>
            </w:pPr>
            <w:r w:rsidRPr="003D2B87">
              <w:rPr>
                <w:rFonts w:ascii="Arial" w:hAnsi="Arial" w:cs="Arial"/>
                <w:b/>
                <w:color w:val="FFFFFF"/>
                <w:szCs w:val="20"/>
                <w:lang w:eastAsia="en-GB"/>
              </w:rPr>
              <w:t>0.011</w:t>
            </w:r>
          </w:p>
        </w:tc>
        <w:tc>
          <w:tcPr>
            <w:tcW w:w="1120" w:type="dxa"/>
            <w:tcBorders>
              <w:top w:val="single" w:sz="4" w:space="0" w:color="auto"/>
              <w:left w:val="nil"/>
              <w:bottom w:val="single" w:sz="4" w:space="0" w:color="auto"/>
              <w:right w:val="single" w:sz="4" w:space="0" w:color="auto"/>
            </w:tcBorders>
            <w:shd w:val="clear" w:color="auto" w:fill="262626"/>
            <w:noWrap/>
            <w:hideMark/>
          </w:tcPr>
          <w:p w14:paraId="6CCE7A75" w14:textId="77777777" w:rsidR="00786A5F" w:rsidRPr="003D2B87" w:rsidRDefault="00786A5F" w:rsidP="00786A5F">
            <w:pPr>
              <w:rPr>
                <w:rFonts w:ascii="Arial" w:hAnsi="Arial" w:cs="Arial"/>
                <w:b/>
                <w:color w:val="FFFFFF"/>
                <w:szCs w:val="20"/>
                <w:lang w:eastAsia="en-GB"/>
              </w:rPr>
            </w:pPr>
            <w:r w:rsidRPr="003D2B87">
              <w:rPr>
                <w:rFonts w:ascii="Arial" w:hAnsi="Arial" w:cs="Arial"/>
                <w:b/>
                <w:color w:val="FFFFFF"/>
                <w:szCs w:val="20"/>
                <w:lang w:eastAsia="en-GB"/>
              </w:rPr>
              <w:t>0.034</w:t>
            </w:r>
          </w:p>
        </w:tc>
      </w:tr>
    </w:tbl>
    <w:p w14:paraId="1F243BC8" w14:textId="77777777" w:rsidR="009952BB" w:rsidRPr="003D2B87" w:rsidRDefault="009952BB" w:rsidP="009952BB">
      <w:pPr>
        <w:ind w:left="360"/>
        <w:rPr>
          <w:rFonts w:ascii="Arial" w:hAnsi="Arial" w:cs="Arial"/>
          <w:sz w:val="24"/>
          <w:szCs w:val="24"/>
        </w:rPr>
      </w:pPr>
      <w:r w:rsidRPr="003D2B87">
        <w:rPr>
          <w:rFonts w:ascii="Arial" w:hAnsi="Arial" w:cs="Arial"/>
          <w:sz w:val="24"/>
          <w:szCs w:val="24"/>
        </w:rPr>
        <w:t>It also clarifies that any deficit an authority may have on its DSG account is expected to be carried forward and is not required to be covered by the authority’s general reserves</w:t>
      </w:r>
      <w:r w:rsidR="00CD1B9C" w:rsidRPr="003D2B87">
        <w:rPr>
          <w:rFonts w:ascii="Arial" w:hAnsi="Arial" w:cs="Arial"/>
          <w:sz w:val="24"/>
          <w:szCs w:val="24"/>
        </w:rPr>
        <w:t>, this has an impact on the DSG Recovery plan that was presented to Schools Forum in June 2019.</w:t>
      </w:r>
    </w:p>
    <w:p w14:paraId="4C163236" w14:textId="77777777" w:rsidR="005C2551" w:rsidRPr="003D2B87" w:rsidRDefault="005C2551" w:rsidP="005C2551">
      <w:pPr>
        <w:ind w:left="360"/>
        <w:rPr>
          <w:rFonts w:ascii="Arial" w:hAnsi="Arial" w:cs="Arial"/>
          <w:sz w:val="24"/>
          <w:szCs w:val="24"/>
        </w:rPr>
      </w:pPr>
      <w:r w:rsidRPr="003D2B87">
        <w:rPr>
          <w:rFonts w:ascii="Arial" w:hAnsi="Arial" w:cs="Arial"/>
          <w:sz w:val="24"/>
          <w:szCs w:val="24"/>
        </w:rPr>
        <w:t>The financial assumptions, modelling and implications contained within that 5-year recovery plan, below in Table 1 were:</w:t>
      </w:r>
    </w:p>
    <w:p w14:paraId="0A911132" w14:textId="77777777" w:rsidR="005C2551" w:rsidRPr="003D2B87" w:rsidRDefault="005C2551" w:rsidP="005C2551">
      <w:pPr>
        <w:numPr>
          <w:ilvl w:val="0"/>
          <w:numId w:val="5"/>
        </w:numPr>
        <w:spacing w:after="0" w:line="240" w:lineRule="auto"/>
        <w:rPr>
          <w:rFonts w:ascii="Arial" w:hAnsi="Arial" w:cs="Arial"/>
          <w:sz w:val="24"/>
          <w:szCs w:val="24"/>
        </w:rPr>
      </w:pPr>
      <w:r w:rsidRPr="003D2B87">
        <w:rPr>
          <w:rFonts w:ascii="Arial" w:hAnsi="Arial" w:cs="Arial"/>
          <w:sz w:val="24"/>
          <w:szCs w:val="24"/>
        </w:rPr>
        <w:t>1% increase per annum in the HNB allocation;</w:t>
      </w:r>
    </w:p>
    <w:p w14:paraId="7A4D5AE4" w14:textId="77777777" w:rsidR="005C2551" w:rsidRPr="003D2B87" w:rsidRDefault="005C2551" w:rsidP="005C2551">
      <w:pPr>
        <w:numPr>
          <w:ilvl w:val="0"/>
          <w:numId w:val="5"/>
        </w:numPr>
        <w:spacing w:after="0" w:line="240" w:lineRule="auto"/>
        <w:rPr>
          <w:rFonts w:ascii="Arial" w:hAnsi="Arial" w:cs="Arial"/>
          <w:sz w:val="24"/>
          <w:szCs w:val="24"/>
        </w:rPr>
      </w:pPr>
      <w:r w:rsidRPr="003D2B87">
        <w:rPr>
          <w:rFonts w:ascii="Arial" w:hAnsi="Arial" w:cs="Calibri"/>
          <w:color w:val="000000"/>
          <w:sz w:val="24"/>
          <w:szCs w:val="24"/>
          <w:lang w:eastAsia="en-GB"/>
        </w:rPr>
        <w:t>Increasing the number of maintained specialist provision to increase quality and reduce placement costs;</w:t>
      </w:r>
    </w:p>
    <w:p w14:paraId="04A4D1B8" w14:textId="77777777" w:rsidR="005C2551" w:rsidRPr="003D2B87" w:rsidRDefault="005C2551" w:rsidP="005C2551">
      <w:pPr>
        <w:numPr>
          <w:ilvl w:val="0"/>
          <w:numId w:val="5"/>
        </w:numPr>
        <w:spacing w:after="0" w:line="240" w:lineRule="auto"/>
        <w:rPr>
          <w:rFonts w:ascii="Arial" w:hAnsi="Arial" w:cs="Arial"/>
          <w:sz w:val="24"/>
          <w:szCs w:val="24"/>
        </w:rPr>
      </w:pPr>
      <w:r w:rsidRPr="003D2B87">
        <w:rPr>
          <w:rFonts w:ascii="Arial" w:hAnsi="Arial" w:cs="Arial"/>
          <w:sz w:val="24"/>
          <w:szCs w:val="24"/>
        </w:rPr>
        <w:t>Increased investment in early invention funding and Specialist Resource Base provision to reduce needs escalating and, therefore, reduce demand on places in special school provision;</w:t>
      </w:r>
    </w:p>
    <w:p w14:paraId="420E411B" w14:textId="77777777" w:rsidR="005C2551" w:rsidRPr="003D2B87" w:rsidRDefault="005C2551" w:rsidP="005C2551">
      <w:pPr>
        <w:numPr>
          <w:ilvl w:val="0"/>
          <w:numId w:val="5"/>
        </w:numPr>
        <w:spacing w:after="0" w:line="240" w:lineRule="auto"/>
        <w:rPr>
          <w:rFonts w:ascii="Arial" w:hAnsi="Arial" w:cs="Calibri"/>
          <w:color w:val="000000"/>
          <w:sz w:val="24"/>
          <w:szCs w:val="24"/>
          <w:lang w:eastAsia="en-GB"/>
        </w:rPr>
      </w:pPr>
      <w:r w:rsidRPr="003D2B87">
        <w:rPr>
          <w:rFonts w:ascii="Arial" w:hAnsi="Arial" w:cs="Arial"/>
          <w:sz w:val="24"/>
          <w:szCs w:val="24"/>
        </w:rPr>
        <w:t>C</w:t>
      </w:r>
      <w:r w:rsidRPr="003D2B87">
        <w:rPr>
          <w:rFonts w:ascii="Arial" w:hAnsi="Arial" w:cs="Calibri"/>
          <w:color w:val="000000"/>
          <w:sz w:val="24"/>
          <w:szCs w:val="24"/>
          <w:lang w:eastAsia="en-GB"/>
        </w:rPr>
        <w:t>ontinued movement between the Schools’ Block and the HNB of 0.5% plus the additional £4.58m agreed by the Secretary of State for the 2019/20 financial year;</w:t>
      </w:r>
    </w:p>
    <w:p w14:paraId="37E48AAA" w14:textId="77777777" w:rsidR="005C2551" w:rsidRPr="003D2B87" w:rsidRDefault="005C2551" w:rsidP="005C2551">
      <w:pPr>
        <w:numPr>
          <w:ilvl w:val="0"/>
          <w:numId w:val="5"/>
        </w:numPr>
        <w:spacing w:after="0" w:line="240" w:lineRule="auto"/>
        <w:rPr>
          <w:rFonts w:ascii="Arial" w:hAnsi="Arial" w:cs="Calibri"/>
          <w:color w:val="000000"/>
          <w:sz w:val="24"/>
          <w:szCs w:val="24"/>
          <w:lang w:eastAsia="en-GB"/>
        </w:rPr>
      </w:pPr>
      <w:r w:rsidRPr="003D2B87">
        <w:rPr>
          <w:rFonts w:ascii="Arial" w:hAnsi="Arial" w:cs="Calibri"/>
          <w:color w:val="000000"/>
          <w:sz w:val="24"/>
          <w:szCs w:val="24"/>
          <w:lang w:eastAsia="en-GB"/>
        </w:rPr>
        <w:t>Continued NCC General Fund support to the HNB of £3m per annum.</w:t>
      </w:r>
    </w:p>
    <w:p w14:paraId="55A87E23" w14:textId="77777777" w:rsidR="0058442B" w:rsidRPr="003D2B87" w:rsidRDefault="0058442B" w:rsidP="0058442B">
      <w:pPr>
        <w:rPr>
          <w:rFonts w:ascii="Arial" w:hAnsi="Arial" w:cs="Arial"/>
          <w:szCs w:val="20"/>
        </w:rPr>
      </w:pPr>
    </w:p>
    <w:p w14:paraId="3BFBF183" w14:textId="77777777" w:rsidR="0058442B" w:rsidRPr="003D2B87" w:rsidRDefault="0058442B" w:rsidP="0058442B">
      <w:pPr>
        <w:rPr>
          <w:rFonts w:ascii="Arial" w:eastAsia="Calibri" w:hAnsi="Arial" w:cs="Arial"/>
          <w:b/>
          <w:color w:val="4472C4"/>
          <w:szCs w:val="20"/>
        </w:rPr>
      </w:pPr>
      <w:r w:rsidRPr="003D2B87">
        <w:rPr>
          <w:rFonts w:ascii="Arial" w:eastAsia="Calibri" w:hAnsi="Arial" w:cs="Arial"/>
          <w:b/>
          <w:color w:val="4472C4"/>
          <w:szCs w:val="20"/>
        </w:rPr>
        <w:t>Table 1: Norfolk’s Current Recovery Plan (</w:t>
      </w:r>
      <w:r w:rsidRPr="003D2B87">
        <w:rPr>
          <w:rFonts w:ascii="Arial" w:eastAsia="Calibri" w:hAnsi="Arial" w:cs="Arial"/>
          <w:b/>
          <w:i/>
          <w:color w:val="4472C4"/>
          <w:szCs w:val="20"/>
        </w:rPr>
        <w:t>provided to Schools’ Forum in May 2019 and submitted to DfE in June 2019</w:t>
      </w:r>
      <w:r w:rsidRPr="003D2B87">
        <w:rPr>
          <w:rFonts w:ascii="Arial" w:eastAsia="Calibri" w:hAnsi="Arial" w:cs="Arial"/>
          <w:b/>
          <w:color w:val="4472C4"/>
          <w:szCs w:val="20"/>
        </w:rPr>
        <w:t>)</w:t>
      </w:r>
    </w:p>
    <w:p w14:paraId="244CAAD8" w14:textId="77777777" w:rsidR="005C2551" w:rsidRPr="003D2B87" w:rsidRDefault="0058442B" w:rsidP="005C2551">
      <w:pPr>
        <w:spacing w:after="240"/>
        <w:rPr>
          <w:rFonts w:ascii="Arial" w:eastAsia="Calibri" w:hAnsi="Arial" w:cs="Arial"/>
          <w:szCs w:val="20"/>
        </w:rPr>
      </w:pPr>
      <w:r w:rsidRPr="003D2B87">
        <w:rPr>
          <w:rFonts w:ascii="Arial" w:eastAsia="Calibri" w:hAnsi="Arial" w:cs="Arial"/>
          <w:szCs w:val="20"/>
        </w:rPr>
        <w:t>*</w:t>
      </w:r>
      <w:r w:rsidRPr="003D2B87">
        <w:rPr>
          <w:rFonts w:ascii="Arial" w:eastAsia="Calibri" w:hAnsi="Arial" w:cs="Arial"/>
          <w:sz w:val="24"/>
          <w:szCs w:val="24"/>
        </w:rPr>
        <w:t>These 3 rows are income/savings with a positive effect on the High Needs block</w:t>
      </w:r>
      <w:r w:rsidRPr="003D2B87">
        <w:rPr>
          <w:rFonts w:ascii="Arial" w:eastAsia="Calibri" w:hAnsi="Arial" w:cs="Arial"/>
          <w:szCs w:val="20"/>
        </w:rPr>
        <w:t>.</w:t>
      </w:r>
    </w:p>
    <w:p w14:paraId="2C42DBF7" w14:textId="77777777" w:rsidR="0058442B" w:rsidRPr="003D2B87" w:rsidRDefault="0058442B" w:rsidP="005C2551">
      <w:pPr>
        <w:spacing w:after="240"/>
        <w:rPr>
          <w:rFonts w:ascii="Arial" w:eastAsia="Calibri" w:hAnsi="Arial" w:cs="Arial"/>
          <w:b/>
          <w:color w:val="4472C4"/>
          <w:szCs w:val="20"/>
        </w:rPr>
      </w:pPr>
      <w:r w:rsidRPr="003D2B87">
        <w:rPr>
          <w:rFonts w:ascii="Arial" w:eastAsia="Calibri" w:hAnsi="Arial" w:cs="Arial"/>
          <w:b/>
          <w:color w:val="4472C4"/>
          <w:szCs w:val="20"/>
        </w:rPr>
        <w:t>Table 2: Cumulative Deficit projection</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3"/>
        <w:gridCol w:w="1093"/>
        <w:gridCol w:w="1092"/>
        <w:gridCol w:w="1093"/>
        <w:gridCol w:w="1092"/>
        <w:gridCol w:w="1093"/>
        <w:gridCol w:w="1093"/>
      </w:tblGrid>
      <w:tr w:rsidR="0058442B" w:rsidRPr="003D2B87" w14:paraId="685BF8B5" w14:textId="77777777" w:rsidTr="0058442B">
        <w:trPr>
          <w:trHeight w:val="300"/>
        </w:trPr>
        <w:tc>
          <w:tcPr>
            <w:tcW w:w="1980" w:type="dxa"/>
            <w:shd w:val="clear" w:color="auto" w:fill="262626"/>
            <w:noWrap/>
            <w:vAlign w:val="bottom"/>
            <w:hideMark/>
          </w:tcPr>
          <w:p w14:paraId="1BFD4EC0" w14:textId="77777777" w:rsidR="0058442B" w:rsidRPr="003D2B87" w:rsidRDefault="0058442B" w:rsidP="0058442B">
            <w:pPr>
              <w:rPr>
                <w:rFonts w:ascii="Arial" w:hAnsi="Arial" w:cs="Arial"/>
                <w:b/>
                <w:color w:val="FFFFFF"/>
                <w:szCs w:val="20"/>
                <w:lang w:eastAsia="en-GB"/>
              </w:rPr>
            </w:pPr>
          </w:p>
        </w:tc>
        <w:tc>
          <w:tcPr>
            <w:tcW w:w="1163" w:type="dxa"/>
            <w:shd w:val="clear" w:color="auto" w:fill="262626"/>
            <w:vAlign w:val="bottom"/>
          </w:tcPr>
          <w:p w14:paraId="5FC2E22E" w14:textId="77777777" w:rsidR="0058442B" w:rsidRPr="003D2B87" w:rsidRDefault="0058442B" w:rsidP="0058442B">
            <w:pPr>
              <w:jc w:val="center"/>
              <w:rPr>
                <w:rFonts w:ascii="Arial" w:hAnsi="Arial" w:cs="Arial"/>
                <w:b/>
                <w:color w:val="FFFFFF"/>
                <w:szCs w:val="20"/>
                <w:lang w:eastAsia="en-GB"/>
              </w:rPr>
            </w:pPr>
            <w:r w:rsidRPr="003D2B87">
              <w:rPr>
                <w:rFonts w:ascii="Arial" w:hAnsi="Arial" w:cs="Arial"/>
                <w:b/>
                <w:color w:val="FFFFFF"/>
                <w:szCs w:val="20"/>
                <w:lang w:eastAsia="en-GB"/>
              </w:rPr>
              <w:t>Brought Forward</w:t>
            </w:r>
          </w:p>
        </w:tc>
        <w:tc>
          <w:tcPr>
            <w:tcW w:w="1093" w:type="dxa"/>
            <w:shd w:val="clear" w:color="auto" w:fill="262626"/>
            <w:noWrap/>
            <w:vAlign w:val="bottom"/>
          </w:tcPr>
          <w:p w14:paraId="526BF506" w14:textId="77777777" w:rsidR="0058442B" w:rsidRPr="003D2B87" w:rsidRDefault="0058442B" w:rsidP="0058442B">
            <w:pPr>
              <w:jc w:val="center"/>
              <w:rPr>
                <w:rFonts w:ascii="Arial" w:hAnsi="Arial" w:cs="Arial"/>
                <w:b/>
                <w:color w:val="FFFFFF"/>
                <w:szCs w:val="20"/>
                <w:lang w:eastAsia="en-GB"/>
              </w:rPr>
            </w:pPr>
            <w:r w:rsidRPr="003D2B87">
              <w:rPr>
                <w:rFonts w:ascii="Arial" w:hAnsi="Arial" w:cs="Arial"/>
                <w:b/>
                <w:color w:val="FFFFFF"/>
                <w:szCs w:val="20"/>
                <w:lang w:eastAsia="en-GB"/>
              </w:rPr>
              <w:t>2018/19</w:t>
            </w:r>
          </w:p>
        </w:tc>
        <w:tc>
          <w:tcPr>
            <w:tcW w:w="1092" w:type="dxa"/>
            <w:shd w:val="clear" w:color="auto" w:fill="262626"/>
            <w:noWrap/>
            <w:vAlign w:val="bottom"/>
          </w:tcPr>
          <w:p w14:paraId="12A3B9C1" w14:textId="77777777" w:rsidR="0058442B" w:rsidRPr="003D2B87" w:rsidRDefault="0058442B" w:rsidP="0058442B">
            <w:pPr>
              <w:jc w:val="center"/>
              <w:rPr>
                <w:rFonts w:ascii="Arial" w:hAnsi="Arial" w:cs="Arial"/>
                <w:b/>
                <w:color w:val="FFFFFF"/>
                <w:szCs w:val="20"/>
                <w:lang w:eastAsia="en-GB"/>
              </w:rPr>
            </w:pPr>
            <w:r w:rsidRPr="003D2B87">
              <w:rPr>
                <w:rFonts w:ascii="Arial" w:hAnsi="Arial" w:cs="Arial"/>
                <w:b/>
                <w:color w:val="FFFFFF"/>
                <w:szCs w:val="20"/>
                <w:lang w:eastAsia="en-GB"/>
              </w:rPr>
              <w:t>2019/20</w:t>
            </w:r>
          </w:p>
        </w:tc>
        <w:tc>
          <w:tcPr>
            <w:tcW w:w="1093" w:type="dxa"/>
            <w:shd w:val="clear" w:color="auto" w:fill="262626"/>
            <w:noWrap/>
            <w:vAlign w:val="bottom"/>
          </w:tcPr>
          <w:p w14:paraId="2E19DB09" w14:textId="77777777" w:rsidR="0058442B" w:rsidRPr="003D2B87" w:rsidRDefault="0058442B" w:rsidP="0058442B">
            <w:pPr>
              <w:jc w:val="center"/>
              <w:rPr>
                <w:rFonts w:ascii="Arial" w:hAnsi="Arial" w:cs="Arial"/>
                <w:b/>
                <w:color w:val="FFFFFF"/>
                <w:szCs w:val="20"/>
                <w:lang w:eastAsia="en-GB"/>
              </w:rPr>
            </w:pPr>
            <w:r w:rsidRPr="003D2B87">
              <w:rPr>
                <w:rFonts w:ascii="Arial" w:hAnsi="Arial" w:cs="Arial"/>
                <w:b/>
                <w:color w:val="FFFFFF"/>
                <w:szCs w:val="20"/>
                <w:lang w:eastAsia="en-GB"/>
              </w:rPr>
              <w:t>2020/21</w:t>
            </w:r>
          </w:p>
        </w:tc>
        <w:tc>
          <w:tcPr>
            <w:tcW w:w="1092" w:type="dxa"/>
            <w:shd w:val="clear" w:color="auto" w:fill="262626"/>
            <w:noWrap/>
            <w:vAlign w:val="bottom"/>
          </w:tcPr>
          <w:p w14:paraId="30F4AB68" w14:textId="77777777" w:rsidR="0058442B" w:rsidRPr="003D2B87" w:rsidRDefault="0058442B" w:rsidP="0058442B">
            <w:pPr>
              <w:jc w:val="center"/>
              <w:rPr>
                <w:rFonts w:ascii="Arial" w:hAnsi="Arial" w:cs="Arial"/>
                <w:b/>
                <w:color w:val="FFFFFF"/>
                <w:szCs w:val="20"/>
                <w:lang w:eastAsia="en-GB"/>
              </w:rPr>
            </w:pPr>
            <w:r w:rsidRPr="003D2B87">
              <w:rPr>
                <w:rFonts w:ascii="Arial" w:hAnsi="Arial" w:cs="Arial"/>
                <w:b/>
                <w:color w:val="FFFFFF"/>
                <w:szCs w:val="20"/>
                <w:lang w:eastAsia="en-GB"/>
              </w:rPr>
              <w:t>2021/22</w:t>
            </w:r>
          </w:p>
        </w:tc>
        <w:tc>
          <w:tcPr>
            <w:tcW w:w="1093" w:type="dxa"/>
            <w:shd w:val="clear" w:color="auto" w:fill="262626"/>
            <w:noWrap/>
            <w:vAlign w:val="bottom"/>
          </w:tcPr>
          <w:p w14:paraId="35608508" w14:textId="77777777" w:rsidR="0058442B" w:rsidRPr="003D2B87" w:rsidRDefault="0058442B" w:rsidP="0058442B">
            <w:pPr>
              <w:jc w:val="center"/>
              <w:rPr>
                <w:rFonts w:ascii="Arial" w:hAnsi="Arial" w:cs="Arial"/>
                <w:b/>
                <w:color w:val="FFFFFF"/>
                <w:szCs w:val="20"/>
                <w:lang w:eastAsia="en-GB"/>
              </w:rPr>
            </w:pPr>
            <w:r w:rsidRPr="003D2B87">
              <w:rPr>
                <w:rFonts w:ascii="Arial" w:hAnsi="Arial" w:cs="Arial"/>
                <w:b/>
                <w:color w:val="FFFFFF"/>
                <w:szCs w:val="20"/>
                <w:lang w:eastAsia="en-GB"/>
              </w:rPr>
              <w:t>2022/23</w:t>
            </w:r>
          </w:p>
        </w:tc>
        <w:tc>
          <w:tcPr>
            <w:tcW w:w="1093" w:type="dxa"/>
            <w:shd w:val="clear" w:color="auto" w:fill="262626"/>
            <w:noWrap/>
            <w:vAlign w:val="bottom"/>
          </w:tcPr>
          <w:p w14:paraId="52DC4BFD" w14:textId="77777777" w:rsidR="0058442B" w:rsidRPr="003D2B87" w:rsidRDefault="0058442B" w:rsidP="0058442B">
            <w:pPr>
              <w:jc w:val="center"/>
              <w:rPr>
                <w:rFonts w:ascii="Arial" w:hAnsi="Arial" w:cs="Arial"/>
                <w:b/>
                <w:color w:val="FFFFFF"/>
                <w:szCs w:val="20"/>
                <w:lang w:eastAsia="en-GB"/>
              </w:rPr>
            </w:pPr>
            <w:r w:rsidRPr="003D2B87">
              <w:rPr>
                <w:rFonts w:ascii="Arial" w:hAnsi="Arial" w:cs="Arial"/>
                <w:b/>
                <w:color w:val="FFFFFF"/>
                <w:szCs w:val="20"/>
                <w:lang w:eastAsia="en-GB"/>
              </w:rPr>
              <w:t>2023/24</w:t>
            </w:r>
          </w:p>
        </w:tc>
      </w:tr>
      <w:tr w:rsidR="0058442B" w:rsidRPr="003D2B87" w14:paraId="6DE0A4B8" w14:textId="77777777" w:rsidTr="0058442B">
        <w:trPr>
          <w:trHeight w:val="300"/>
        </w:trPr>
        <w:tc>
          <w:tcPr>
            <w:tcW w:w="1980" w:type="dxa"/>
            <w:shd w:val="clear" w:color="auto" w:fill="262626"/>
            <w:noWrap/>
            <w:vAlign w:val="bottom"/>
          </w:tcPr>
          <w:p w14:paraId="2B6122C1" w14:textId="77777777" w:rsidR="0058442B" w:rsidRPr="003D2B87" w:rsidRDefault="0058442B" w:rsidP="0058442B">
            <w:pPr>
              <w:rPr>
                <w:rFonts w:ascii="Arial" w:hAnsi="Arial" w:cs="Arial"/>
                <w:b/>
                <w:color w:val="FFFFFF"/>
                <w:szCs w:val="20"/>
                <w:lang w:eastAsia="en-GB"/>
              </w:rPr>
            </w:pPr>
            <w:r w:rsidRPr="003D2B87">
              <w:rPr>
                <w:rFonts w:ascii="Arial" w:hAnsi="Arial" w:cs="Arial"/>
                <w:b/>
                <w:color w:val="FFFFFF"/>
                <w:szCs w:val="20"/>
                <w:lang w:eastAsia="en-GB"/>
              </w:rPr>
              <w:t>Cumulative Deficit</w:t>
            </w:r>
          </w:p>
        </w:tc>
        <w:tc>
          <w:tcPr>
            <w:tcW w:w="1163" w:type="dxa"/>
            <w:shd w:val="clear" w:color="auto" w:fill="auto"/>
            <w:vAlign w:val="center"/>
          </w:tcPr>
          <w:p w14:paraId="487F0846" w14:textId="77777777" w:rsidR="0058442B" w:rsidRPr="003D2B87" w:rsidRDefault="0058442B" w:rsidP="0058442B">
            <w:pPr>
              <w:jc w:val="center"/>
              <w:rPr>
                <w:rFonts w:ascii="Arial" w:hAnsi="Arial" w:cs="Arial"/>
                <w:b/>
                <w:szCs w:val="20"/>
                <w:lang w:eastAsia="en-GB"/>
              </w:rPr>
            </w:pPr>
            <w:r w:rsidRPr="003D2B87">
              <w:rPr>
                <w:rFonts w:ascii="Arial" w:hAnsi="Arial" w:cs="Arial"/>
                <w:b/>
                <w:szCs w:val="20"/>
                <w:lang w:eastAsia="en-GB"/>
              </w:rPr>
              <w:t>-8.087</w:t>
            </w:r>
          </w:p>
        </w:tc>
        <w:tc>
          <w:tcPr>
            <w:tcW w:w="1093" w:type="dxa"/>
            <w:shd w:val="clear" w:color="auto" w:fill="auto"/>
            <w:noWrap/>
            <w:vAlign w:val="center"/>
          </w:tcPr>
          <w:p w14:paraId="4C6D4E2E" w14:textId="77777777" w:rsidR="0058442B" w:rsidRPr="003D2B87" w:rsidRDefault="0058442B" w:rsidP="0058442B">
            <w:pPr>
              <w:jc w:val="center"/>
              <w:rPr>
                <w:rFonts w:ascii="Arial" w:hAnsi="Arial" w:cs="Arial"/>
                <w:b/>
                <w:szCs w:val="20"/>
                <w:lang w:eastAsia="en-GB"/>
              </w:rPr>
            </w:pPr>
            <w:r w:rsidRPr="003D2B87">
              <w:rPr>
                <w:rFonts w:ascii="Arial" w:hAnsi="Arial" w:cs="Arial"/>
                <w:b/>
                <w:szCs w:val="20"/>
                <w:lang w:eastAsia="en-GB"/>
              </w:rPr>
              <w:t>-10.887</w:t>
            </w:r>
          </w:p>
        </w:tc>
        <w:tc>
          <w:tcPr>
            <w:tcW w:w="1092" w:type="dxa"/>
            <w:shd w:val="clear" w:color="auto" w:fill="auto"/>
            <w:noWrap/>
            <w:vAlign w:val="center"/>
          </w:tcPr>
          <w:p w14:paraId="185D1201" w14:textId="77777777" w:rsidR="0058442B" w:rsidRPr="003D2B87" w:rsidRDefault="0058442B" w:rsidP="0058442B">
            <w:pPr>
              <w:jc w:val="center"/>
              <w:rPr>
                <w:rFonts w:ascii="Arial" w:hAnsi="Arial" w:cs="Arial"/>
                <w:b/>
                <w:szCs w:val="20"/>
                <w:lang w:eastAsia="en-GB"/>
              </w:rPr>
            </w:pPr>
            <w:r w:rsidRPr="003D2B87">
              <w:rPr>
                <w:rFonts w:ascii="Arial" w:hAnsi="Arial" w:cs="Arial"/>
                <w:b/>
                <w:szCs w:val="20"/>
                <w:lang w:eastAsia="en-GB"/>
              </w:rPr>
              <w:t>-15.982</w:t>
            </w:r>
          </w:p>
        </w:tc>
        <w:tc>
          <w:tcPr>
            <w:tcW w:w="1093" w:type="dxa"/>
            <w:shd w:val="clear" w:color="auto" w:fill="auto"/>
            <w:noWrap/>
            <w:vAlign w:val="center"/>
          </w:tcPr>
          <w:p w14:paraId="45887B4B" w14:textId="77777777" w:rsidR="0058442B" w:rsidRPr="003D2B87" w:rsidRDefault="0058442B" w:rsidP="0058442B">
            <w:pPr>
              <w:jc w:val="center"/>
              <w:rPr>
                <w:rFonts w:ascii="Arial" w:hAnsi="Arial" w:cs="Arial"/>
                <w:b/>
                <w:szCs w:val="20"/>
                <w:lang w:eastAsia="en-GB"/>
              </w:rPr>
            </w:pPr>
            <w:r w:rsidRPr="003D2B87">
              <w:rPr>
                <w:rFonts w:ascii="Arial" w:hAnsi="Arial" w:cs="Arial"/>
                <w:b/>
                <w:szCs w:val="20"/>
                <w:lang w:eastAsia="en-GB"/>
              </w:rPr>
              <w:t>-19.372</w:t>
            </w:r>
          </w:p>
        </w:tc>
        <w:tc>
          <w:tcPr>
            <w:tcW w:w="1092" w:type="dxa"/>
            <w:shd w:val="clear" w:color="auto" w:fill="auto"/>
            <w:noWrap/>
            <w:vAlign w:val="center"/>
          </w:tcPr>
          <w:p w14:paraId="1FEEB84D" w14:textId="77777777" w:rsidR="0058442B" w:rsidRPr="003D2B87" w:rsidRDefault="0058442B" w:rsidP="0058442B">
            <w:pPr>
              <w:jc w:val="center"/>
              <w:rPr>
                <w:rFonts w:ascii="Arial" w:hAnsi="Arial" w:cs="Arial"/>
                <w:b/>
                <w:szCs w:val="20"/>
                <w:lang w:eastAsia="en-GB"/>
              </w:rPr>
            </w:pPr>
            <w:r w:rsidRPr="003D2B87">
              <w:rPr>
                <w:rFonts w:ascii="Arial" w:hAnsi="Arial" w:cs="Arial"/>
                <w:b/>
                <w:szCs w:val="20"/>
                <w:lang w:eastAsia="en-GB"/>
              </w:rPr>
              <w:t>-16.983</w:t>
            </w:r>
          </w:p>
        </w:tc>
        <w:tc>
          <w:tcPr>
            <w:tcW w:w="1093" w:type="dxa"/>
            <w:shd w:val="clear" w:color="auto" w:fill="auto"/>
            <w:noWrap/>
            <w:vAlign w:val="center"/>
          </w:tcPr>
          <w:p w14:paraId="24212376" w14:textId="77777777" w:rsidR="0058442B" w:rsidRPr="003D2B87" w:rsidRDefault="0058442B" w:rsidP="0058442B">
            <w:pPr>
              <w:jc w:val="center"/>
              <w:rPr>
                <w:rFonts w:ascii="Arial" w:hAnsi="Arial" w:cs="Arial"/>
                <w:b/>
                <w:szCs w:val="20"/>
                <w:lang w:eastAsia="en-GB"/>
              </w:rPr>
            </w:pPr>
            <w:r w:rsidRPr="003D2B87">
              <w:rPr>
                <w:rFonts w:ascii="Arial" w:hAnsi="Arial" w:cs="Arial"/>
                <w:b/>
                <w:szCs w:val="20"/>
                <w:lang w:eastAsia="en-GB"/>
              </w:rPr>
              <w:t>-12.373</w:t>
            </w:r>
          </w:p>
        </w:tc>
        <w:tc>
          <w:tcPr>
            <w:tcW w:w="1093" w:type="dxa"/>
            <w:shd w:val="clear" w:color="auto" w:fill="auto"/>
            <w:noWrap/>
            <w:vAlign w:val="center"/>
          </w:tcPr>
          <w:p w14:paraId="265A3644" w14:textId="77777777" w:rsidR="0058442B" w:rsidRPr="003D2B87" w:rsidRDefault="0058442B" w:rsidP="0058442B">
            <w:pPr>
              <w:jc w:val="center"/>
              <w:rPr>
                <w:rFonts w:ascii="Arial" w:hAnsi="Arial" w:cs="Arial"/>
                <w:b/>
                <w:szCs w:val="20"/>
                <w:lang w:eastAsia="en-GB"/>
              </w:rPr>
            </w:pPr>
            <w:r w:rsidRPr="003D2B87">
              <w:rPr>
                <w:rFonts w:ascii="Arial" w:hAnsi="Arial" w:cs="Arial"/>
                <w:b/>
                <w:szCs w:val="20"/>
                <w:lang w:eastAsia="en-GB"/>
              </w:rPr>
              <w:t>-5.639</w:t>
            </w:r>
          </w:p>
        </w:tc>
      </w:tr>
    </w:tbl>
    <w:p w14:paraId="5E1C14C3" w14:textId="77777777" w:rsidR="0058442B" w:rsidRPr="003D2B87" w:rsidRDefault="0058442B" w:rsidP="0058442B">
      <w:pPr>
        <w:rPr>
          <w:rFonts w:ascii="Arial" w:hAnsi="Arial" w:cs="Arial"/>
          <w:b/>
          <w:szCs w:val="20"/>
        </w:rPr>
      </w:pPr>
    </w:p>
    <w:p w14:paraId="765568A9" w14:textId="77777777" w:rsidR="0058442B" w:rsidRPr="003D2B87" w:rsidRDefault="0058442B" w:rsidP="0058442B">
      <w:pPr>
        <w:rPr>
          <w:rFonts w:ascii="Arial" w:hAnsi="Arial" w:cs="Calibri"/>
          <w:color w:val="000000"/>
          <w:sz w:val="24"/>
          <w:szCs w:val="24"/>
          <w:lang w:eastAsia="en-GB"/>
        </w:rPr>
      </w:pPr>
    </w:p>
    <w:p w14:paraId="459D03D8" w14:textId="77777777" w:rsidR="0058442B" w:rsidRPr="003D2B87" w:rsidRDefault="0058442B" w:rsidP="0058442B">
      <w:pPr>
        <w:rPr>
          <w:rFonts w:ascii="Arial" w:hAnsi="Arial" w:cs="Calibri"/>
          <w:color w:val="000000"/>
          <w:sz w:val="24"/>
          <w:szCs w:val="24"/>
          <w:lang w:eastAsia="en-GB"/>
        </w:rPr>
      </w:pPr>
      <w:r w:rsidRPr="003D2B87">
        <w:rPr>
          <w:rFonts w:ascii="Arial" w:hAnsi="Arial" w:cs="Calibri"/>
          <w:color w:val="000000"/>
          <w:sz w:val="24"/>
          <w:szCs w:val="24"/>
          <w:lang w:eastAsia="en-GB"/>
        </w:rPr>
        <w:t>Following the Government’s Spending Review in September, the DfE in October issued indicative DSG funding to Local Authorities, including an indicative HNB funding increase for Norfolk of £10.2m in 2020/21.  The LA has revised the 5-year DSG recovery plan, with a view to recovering the DSG deficit within the next 3 years (as originally required by the DfE).</w:t>
      </w:r>
    </w:p>
    <w:p w14:paraId="33A95767" w14:textId="77777777" w:rsidR="0058442B" w:rsidRPr="003D2B87" w:rsidRDefault="0058442B" w:rsidP="0058442B">
      <w:pPr>
        <w:rPr>
          <w:rFonts w:ascii="Arial" w:hAnsi="Arial" w:cs="Calibri"/>
          <w:color w:val="000000"/>
          <w:sz w:val="24"/>
          <w:szCs w:val="24"/>
          <w:lang w:eastAsia="en-GB"/>
        </w:rPr>
      </w:pPr>
      <w:r w:rsidRPr="003D2B87">
        <w:rPr>
          <w:rFonts w:ascii="Arial" w:hAnsi="Arial" w:cs="Calibri"/>
          <w:color w:val="000000"/>
          <w:sz w:val="24"/>
          <w:szCs w:val="24"/>
          <w:lang w:eastAsia="en-GB"/>
        </w:rPr>
        <w:t>On the 11</w:t>
      </w:r>
      <w:r w:rsidRPr="003D2B87">
        <w:rPr>
          <w:rFonts w:ascii="Arial" w:hAnsi="Arial" w:cs="Calibri"/>
          <w:color w:val="000000"/>
          <w:sz w:val="24"/>
          <w:szCs w:val="24"/>
          <w:vertAlign w:val="superscript"/>
          <w:lang w:eastAsia="en-GB"/>
        </w:rPr>
        <w:t>th</w:t>
      </w:r>
      <w:r w:rsidRPr="003D2B87">
        <w:rPr>
          <w:rFonts w:ascii="Arial" w:hAnsi="Arial" w:cs="Calibri"/>
          <w:color w:val="000000"/>
          <w:sz w:val="24"/>
          <w:szCs w:val="24"/>
          <w:lang w:eastAsia="en-GB"/>
        </w:rPr>
        <w:t xml:space="preserve"> October, the DfE also announced a consultation on the ring-fencing and grant conditions of the DSG, which seeks to clarify that Local Authorities are not required to cover DSG deficits from other LA funds and that deficits need to be recovered from future Schools (DSG) funding.  Therefore, to reflect the impact of the </w:t>
      </w:r>
      <w:r w:rsidRPr="003D2B87">
        <w:rPr>
          <w:rFonts w:ascii="Arial" w:hAnsi="Arial" w:cs="Calibri"/>
          <w:color w:val="000000"/>
          <w:sz w:val="24"/>
          <w:szCs w:val="24"/>
          <w:lang w:eastAsia="en-GB"/>
        </w:rPr>
        <w:lastRenderedPageBreak/>
        <w:t>proposed changes, the planned contributions from the LA’s General Fund to the DSG have been removed from the revised DSG recovery plan.</w:t>
      </w:r>
    </w:p>
    <w:p w14:paraId="028ACD68" w14:textId="77777777" w:rsidR="002268CA" w:rsidRPr="003D2B87" w:rsidRDefault="0058442B" w:rsidP="0058442B">
      <w:pPr>
        <w:rPr>
          <w:rFonts w:ascii="Arial" w:hAnsi="Arial" w:cs="Calibri"/>
          <w:color w:val="000000"/>
          <w:sz w:val="24"/>
          <w:szCs w:val="24"/>
          <w:lang w:eastAsia="en-GB"/>
        </w:rPr>
      </w:pPr>
      <w:r w:rsidRPr="003D2B87">
        <w:rPr>
          <w:rFonts w:ascii="Arial" w:hAnsi="Arial" w:cs="Calibri"/>
          <w:color w:val="000000"/>
          <w:sz w:val="24"/>
          <w:szCs w:val="24"/>
          <w:lang w:eastAsia="en-GB"/>
        </w:rPr>
        <w:t>The revised DSG recovery plan is shown in the table below:</w:t>
      </w:r>
    </w:p>
    <w:p w14:paraId="21F6D118" w14:textId="77777777" w:rsidR="002268CA" w:rsidRPr="003D2B87" w:rsidRDefault="002268CA" w:rsidP="0058442B">
      <w:pPr>
        <w:rPr>
          <w:rFonts w:ascii="Arial" w:hAnsi="Arial" w:cs="Calibri"/>
          <w:color w:val="000000"/>
          <w:sz w:val="24"/>
          <w:szCs w:val="24"/>
          <w:lang w:eastAsia="en-GB"/>
        </w:rPr>
      </w:pPr>
    </w:p>
    <w:tbl>
      <w:tblPr>
        <w:tblW w:w="10072" w:type="dxa"/>
        <w:tblInd w:w="-508" w:type="dxa"/>
        <w:tblLook w:val="04A0" w:firstRow="1" w:lastRow="0" w:firstColumn="1" w:lastColumn="0" w:noHBand="0" w:noVBand="1"/>
      </w:tblPr>
      <w:tblGrid>
        <w:gridCol w:w="4000"/>
        <w:gridCol w:w="1012"/>
        <w:gridCol w:w="1012"/>
        <w:gridCol w:w="1012"/>
        <w:gridCol w:w="1012"/>
        <w:gridCol w:w="1012"/>
        <w:gridCol w:w="1012"/>
      </w:tblGrid>
      <w:tr w:rsidR="0058442B" w:rsidRPr="003D2B87" w14:paraId="76D0CB51" w14:textId="77777777" w:rsidTr="00786A5F">
        <w:trPr>
          <w:trHeight w:val="390"/>
        </w:trPr>
        <w:tc>
          <w:tcPr>
            <w:tcW w:w="4000" w:type="dxa"/>
            <w:tcBorders>
              <w:top w:val="single" w:sz="8" w:space="0" w:color="auto"/>
              <w:left w:val="single" w:sz="8" w:space="0" w:color="auto"/>
              <w:bottom w:val="single" w:sz="8" w:space="0" w:color="auto"/>
              <w:right w:val="single" w:sz="8" w:space="0" w:color="auto"/>
            </w:tcBorders>
            <w:shd w:val="clear" w:color="000000" w:fill="262626"/>
            <w:noWrap/>
            <w:vAlign w:val="center"/>
            <w:hideMark/>
          </w:tcPr>
          <w:p w14:paraId="14C0560C" w14:textId="77777777" w:rsidR="0058442B" w:rsidRPr="003D2B87" w:rsidRDefault="0058442B" w:rsidP="0058442B">
            <w:pPr>
              <w:spacing w:after="0" w:line="240" w:lineRule="auto"/>
              <w:rPr>
                <w:rFonts w:ascii="Arial" w:eastAsia="Times New Roman" w:hAnsi="Arial" w:cs="Arial"/>
                <w:b/>
                <w:bCs/>
                <w:color w:val="FFFFFF"/>
                <w:lang w:eastAsia="en-GB"/>
              </w:rPr>
            </w:pPr>
            <w:r w:rsidRPr="003D2B87">
              <w:rPr>
                <w:rFonts w:ascii="Arial" w:eastAsia="Times New Roman" w:hAnsi="Arial" w:cs="Arial"/>
                <w:b/>
                <w:bCs/>
                <w:color w:val="FFFFFF"/>
                <w:lang w:eastAsia="en-GB"/>
              </w:rPr>
              <w:t> </w:t>
            </w:r>
          </w:p>
        </w:tc>
        <w:tc>
          <w:tcPr>
            <w:tcW w:w="1012" w:type="dxa"/>
            <w:tcBorders>
              <w:top w:val="single" w:sz="8" w:space="0" w:color="auto"/>
              <w:left w:val="nil"/>
              <w:bottom w:val="single" w:sz="8" w:space="0" w:color="auto"/>
              <w:right w:val="single" w:sz="8" w:space="0" w:color="auto"/>
            </w:tcBorders>
            <w:shd w:val="clear" w:color="000000" w:fill="262626"/>
            <w:noWrap/>
            <w:vAlign w:val="center"/>
            <w:hideMark/>
          </w:tcPr>
          <w:p w14:paraId="31B1CA0D"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2018/19</w:t>
            </w:r>
          </w:p>
        </w:tc>
        <w:tc>
          <w:tcPr>
            <w:tcW w:w="1012" w:type="dxa"/>
            <w:tcBorders>
              <w:top w:val="single" w:sz="8" w:space="0" w:color="auto"/>
              <w:left w:val="nil"/>
              <w:bottom w:val="single" w:sz="8" w:space="0" w:color="auto"/>
              <w:right w:val="single" w:sz="8" w:space="0" w:color="auto"/>
            </w:tcBorders>
            <w:shd w:val="clear" w:color="000000" w:fill="262626"/>
            <w:noWrap/>
            <w:vAlign w:val="center"/>
            <w:hideMark/>
          </w:tcPr>
          <w:p w14:paraId="0CA11756"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2019/20</w:t>
            </w:r>
          </w:p>
        </w:tc>
        <w:tc>
          <w:tcPr>
            <w:tcW w:w="1012" w:type="dxa"/>
            <w:tcBorders>
              <w:top w:val="single" w:sz="8" w:space="0" w:color="auto"/>
              <w:left w:val="nil"/>
              <w:bottom w:val="single" w:sz="8" w:space="0" w:color="auto"/>
              <w:right w:val="single" w:sz="8" w:space="0" w:color="auto"/>
            </w:tcBorders>
            <w:shd w:val="clear" w:color="000000" w:fill="262626"/>
            <w:noWrap/>
            <w:vAlign w:val="center"/>
            <w:hideMark/>
          </w:tcPr>
          <w:p w14:paraId="1B090414"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2020/21</w:t>
            </w:r>
          </w:p>
        </w:tc>
        <w:tc>
          <w:tcPr>
            <w:tcW w:w="1012" w:type="dxa"/>
            <w:tcBorders>
              <w:top w:val="single" w:sz="8" w:space="0" w:color="auto"/>
              <w:left w:val="nil"/>
              <w:bottom w:val="single" w:sz="8" w:space="0" w:color="auto"/>
              <w:right w:val="single" w:sz="8" w:space="0" w:color="auto"/>
            </w:tcBorders>
            <w:shd w:val="clear" w:color="000000" w:fill="262626"/>
            <w:noWrap/>
            <w:vAlign w:val="center"/>
            <w:hideMark/>
          </w:tcPr>
          <w:p w14:paraId="43EE31D5"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2021/22</w:t>
            </w:r>
          </w:p>
        </w:tc>
        <w:tc>
          <w:tcPr>
            <w:tcW w:w="1012" w:type="dxa"/>
            <w:tcBorders>
              <w:top w:val="single" w:sz="8" w:space="0" w:color="auto"/>
              <w:left w:val="nil"/>
              <w:bottom w:val="single" w:sz="8" w:space="0" w:color="auto"/>
              <w:right w:val="single" w:sz="8" w:space="0" w:color="auto"/>
            </w:tcBorders>
            <w:shd w:val="clear" w:color="000000" w:fill="262626"/>
            <w:noWrap/>
            <w:vAlign w:val="center"/>
            <w:hideMark/>
          </w:tcPr>
          <w:p w14:paraId="23FA858F"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2022/23</w:t>
            </w:r>
          </w:p>
        </w:tc>
        <w:tc>
          <w:tcPr>
            <w:tcW w:w="1012" w:type="dxa"/>
            <w:tcBorders>
              <w:top w:val="single" w:sz="8" w:space="0" w:color="auto"/>
              <w:left w:val="nil"/>
              <w:bottom w:val="single" w:sz="8" w:space="0" w:color="auto"/>
              <w:right w:val="single" w:sz="8" w:space="0" w:color="auto"/>
            </w:tcBorders>
            <w:shd w:val="clear" w:color="000000" w:fill="262626"/>
            <w:noWrap/>
            <w:vAlign w:val="center"/>
            <w:hideMark/>
          </w:tcPr>
          <w:p w14:paraId="5CE275DF"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2023/24</w:t>
            </w:r>
          </w:p>
        </w:tc>
      </w:tr>
      <w:tr w:rsidR="0058442B" w:rsidRPr="003D2B87" w14:paraId="6DEFBA1F"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4314E46D"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High Needs Block Allocation</w:t>
            </w:r>
          </w:p>
        </w:tc>
        <w:tc>
          <w:tcPr>
            <w:tcW w:w="1012" w:type="dxa"/>
            <w:tcBorders>
              <w:top w:val="nil"/>
              <w:left w:val="nil"/>
              <w:bottom w:val="single" w:sz="8" w:space="0" w:color="auto"/>
              <w:right w:val="single" w:sz="8" w:space="0" w:color="auto"/>
            </w:tcBorders>
            <w:shd w:val="clear" w:color="000000" w:fill="A6A6A6"/>
            <w:noWrap/>
            <w:vAlign w:val="center"/>
            <w:hideMark/>
          </w:tcPr>
          <w:p w14:paraId="138C0922"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80.462</w:t>
            </w:r>
          </w:p>
        </w:tc>
        <w:tc>
          <w:tcPr>
            <w:tcW w:w="1012" w:type="dxa"/>
            <w:tcBorders>
              <w:top w:val="nil"/>
              <w:left w:val="nil"/>
              <w:bottom w:val="single" w:sz="8" w:space="0" w:color="auto"/>
              <w:right w:val="single" w:sz="8" w:space="0" w:color="auto"/>
            </w:tcBorders>
            <w:shd w:val="clear" w:color="auto" w:fill="auto"/>
            <w:noWrap/>
            <w:vAlign w:val="center"/>
            <w:hideMark/>
          </w:tcPr>
          <w:p w14:paraId="7E472787"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81.822</w:t>
            </w:r>
          </w:p>
        </w:tc>
        <w:tc>
          <w:tcPr>
            <w:tcW w:w="1012" w:type="dxa"/>
            <w:tcBorders>
              <w:top w:val="nil"/>
              <w:left w:val="nil"/>
              <w:bottom w:val="single" w:sz="8" w:space="0" w:color="auto"/>
              <w:right w:val="single" w:sz="8" w:space="0" w:color="auto"/>
            </w:tcBorders>
            <w:shd w:val="clear" w:color="auto" w:fill="auto"/>
            <w:noWrap/>
            <w:vAlign w:val="center"/>
            <w:hideMark/>
          </w:tcPr>
          <w:p w14:paraId="0AC45F81"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92.087</w:t>
            </w:r>
          </w:p>
        </w:tc>
        <w:tc>
          <w:tcPr>
            <w:tcW w:w="1012" w:type="dxa"/>
            <w:tcBorders>
              <w:top w:val="nil"/>
              <w:left w:val="nil"/>
              <w:bottom w:val="single" w:sz="8" w:space="0" w:color="auto"/>
              <w:right w:val="single" w:sz="8" w:space="0" w:color="auto"/>
            </w:tcBorders>
            <w:shd w:val="clear" w:color="auto" w:fill="auto"/>
            <w:noWrap/>
            <w:vAlign w:val="center"/>
            <w:hideMark/>
          </w:tcPr>
          <w:p w14:paraId="2A909C46"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92.912</w:t>
            </w:r>
          </w:p>
        </w:tc>
        <w:tc>
          <w:tcPr>
            <w:tcW w:w="1012" w:type="dxa"/>
            <w:tcBorders>
              <w:top w:val="nil"/>
              <w:left w:val="nil"/>
              <w:bottom w:val="single" w:sz="8" w:space="0" w:color="auto"/>
              <w:right w:val="single" w:sz="8" w:space="0" w:color="auto"/>
            </w:tcBorders>
            <w:shd w:val="clear" w:color="auto" w:fill="auto"/>
            <w:noWrap/>
            <w:vAlign w:val="center"/>
            <w:hideMark/>
          </w:tcPr>
          <w:p w14:paraId="08C7FD0E"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93.740</w:t>
            </w:r>
          </w:p>
        </w:tc>
        <w:tc>
          <w:tcPr>
            <w:tcW w:w="1012" w:type="dxa"/>
            <w:tcBorders>
              <w:top w:val="nil"/>
              <w:left w:val="nil"/>
              <w:bottom w:val="single" w:sz="8" w:space="0" w:color="auto"/>
              <w:right w:val="single" w:sz="8" w:space="0" w:color="auto"/>
            </w:tcBorders>
            <w:shd w:val="clear" w:color="auto" w:fill="auto"/>
            <w:noWrap/>
            <w:vAlign w:val="center"/>
            <w:hideMark/>
          </w:tcPr>
          <w:p w14:paraId="7B43AA78"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94.572</w:t>
            </w:r>
          </w:p>
        </w:tc>
      </w:tr>
      <w:tr w:rsidR="0058442B" w:rsidRPr="003D2B87" w14:paraId="2FBE5C10"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vAlign w:val="center"/>
            <w:hideMark/>
          </w:tcPr>
          <w:p w14:paraId="20C43345"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0.5% Schools’ Block Transfer</w:t>
            </w:r>
          </w:p>
        </w:tc>
        <w:tc>
          <w:tcPr>
            <w:tcW w:w="1012" w:type="dxa"/>
            <w:tcBorders>
              <w:top w:val="nil"/>
              <w:left w:val="nil"/>
              <w:bottom w:val="single" w:sz="8" w:space="0" w:color="auto"/>
              <w:right w:val="single" w:sz="8" w:space="0" w:color="auto"/>
            </w:tcBorders>
            <w:shd w:val="clear" w:color="000000" w:fill="AEAAAA"/>
            <w:noWrap/>
            <w:vAlign w:val="center"/>
            <w:hideMark/>
          </w:tcPr>
          <w:p w14:paraId="21EFA939"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2.365</w:t>
            </w:r>
          </w:p>
        </w:tc>
        <w:tc>
          <w:tcPr>
            <w:tcW w:w="1012" w:type="dxa"/>
            <w:tcBorders>
              <w:top w:val="nil"/>
              <w:left w:val="nil"/>
              <w:bottom w:val="single" w:sz="8" w:space="0" w:color="auto"/>
              <w:right w:val="single" w:sz="8" w:space="0" w:color="auto"/>
            </w:tcBorders>
            <w:shd w:val="clear" w:color="auto" w:fill="auto"/>
            <w:noWrap/>
            <w:vAlign w:val="center"/>
            <w:hideMark/>
          </w:tcPr>
          <w:p w14:paraId="023BAA4E"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2.410</w:t>
            </w:r>
          </w:p>
        </w:tc>
        <w:tc>
          <w:tcPr>
            <w:tcW w:w="1012" w:type="dxa"/>
            <w:tcBorders>
              <w:top w:val="nil"/>
              <w:left w:val="nil"/>
              <w:bottom w:val="single" w:sz="8" w:space="0" w:color="auto"/>
              <w:right w:val="single" w:sz="8" w:space="0" w:color="auto"/>
            </w:tcBorders>
            <w:shd w:val="clear" w:color="auto" w:fill="auto"/>
            <w:noWrap/>
            <w:vAlign w:val="center"/>
            <w:hideMark/>
          </w:tcPr>
          <w:p w14:paraId="46012776"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2.481</w:t>
            </w:r>
          </w:p>
        </w:tc>
        <w:tc>
          <w:tcPr>
            <w:tcW w:w="1012" w:type="dxa"/>
            <w:tcBorders>
              <w:top w:val="nil"/>
              <w:left w:val="nil"/>
              <w:bottom w:val="single" w:sz="8" w:space="0" w:color="auto"/>
              <w:right w:val="single" w:sz="8" w:space="0" w:color="auto"/>
            </w:tcBorders>
            <w:shd w:val="clear" w:color="auto" w:fill="auto"/>
            <w:noWrap/>
            <w:vAlign w:val="center"/>
            <w:hideMark/>
          </w:tcPr>
          <w:p w14:paraId="3553AB64"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2.506</w:t>
            </w:r>
          </w:p>
        </w:tc>
        <w:tc>
          <w:tcPr>
            <w:tcW w:w="1012" w:type="dxa"/>
            <w:tcBorders>
              <w:top w:val="nil"/>
              <w:left w:val="nil"/>
              <w:bottom w:val="single" w:sz="8" w:space="0" w:color="auto"/>
              <w:right w:val="single" w:sz="8" w:space="0" w:color="auto"/>
            </w:tcBorders>
            <w:shd w:val="clear" w:color="auto" w:fill="auto"/>
            <w:noWrap/>
            <w:vAlign w:val="center"/>
            <w:hideMark/>
          </w:tcPr>
          <w:p w14:paraId="65E2FDC8"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2.531</w:t>
            </w:r>
          </w:p>
        </w:tc>
        <w:tc>
          <w:tcPr>
            <w:tcW w:w="1012" w:type="dxa"/>
            <w:tcBorders>
              <w:top w:val="nil"/>
              <w:left w:val="nil"/>
              <w:bottom w:val="single" w:sz="8" w:space="0" w:color="auto"/>
              <w:right w:val="single" w:sz="8" w:space="0" w:color="auto"/>
            </w:tcBorders>
            <w:shd w:val="clear" w:color="auto" w:fill="auto"/>
            <w:noWrap/>
            <w:vAlign w:val="center"/>
            <w:hideMark/>
          </w:tcPr>
          <w:p w14:paraId="502ED56B"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r>
      <w:tr w:rsidR="0058442B" w:rsidRPr="003D2B87" w14:paraId="6E53EFF0"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34DEA4C2"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 xml:space="preserve">Additional Schools’ Block Transfer </w:t>
            </w:r>
          </w:p>
        </w:tc>
        <w:tc>
          <w:tcPr>
            <w:tcW w:w="1012" w:type="dxa"/>
            <w:tcBorders>
              <w:top w:val="nil"/>
              <w:left w:val="nil"/>
              <w:bottom w:val="single" w:sz="8" w:space="0" w:color="auto"/>
              <w:right w:val="single" w:sz="8" w:space="0" w:color="auto"/>
            </w:tcBorders>
            <w:shd w:val="clear" w:color="000000" w:fill="AEAAAA"/>
            <w:noWrap/>
            <w:vAlign w:val="center"/>
            <w:hideMark/>
          </w:tcPr>
          <w:p w14:paraId="5C63833D"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c>
          <w:tcPr>
            <w:tcW w:w="1012" w:type="dxa"/>
            <w:tcBorders>
              <w:top w:val="nil"/>
              <w:left w:val="nil"/>
              <w:bottom w:val="single" w:sz="8" w:space="0" w:color="auto"/>
              <w:right w:val="single" w:sz="8" w:space="0" w:color="auto"/>
            </w:tcBorders>
            <w:shd w:val="clear" w:color="auto" w:fill="auto"/>
            <w:noWrap/>
            <w:vAlign w:val="center"/>
            <w:hideMark/>
          </w:tcPr>
          <w:p w14:paraId="70AE900D"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4.580</w:t>
            </w:r>
          </w:p>
        </w:tc>
        <w:tc>
          <w:tcPr>
            <w:tcW w:w="1012" w:type="dxa"/>
            <w:tcBorders>
              <w:top w:val="nil"/>
              <w:left w:val="nil"/>
              <w:bottom w:val="single" w:sz="8" w:space="0" w:color="auto"/>
              <w:right w:val="single" w:sz="8" w:space="0" w:color="auto"/>
            </w:tcBorders>
            <w:shd w:val="clear" w:color="auto" w:fill="auto"/>
            <w:noWrap/>
            <w:vAlign w:val="center"/>
            <w:hideMark/>
          </w:tcPr>
          <w:p w14:paraId="73D93B34"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2.500</w:t>
            </w:r>
          </w:p>
        </w:tc>
        <w:tc>
          <w:tcPr>
            <w:tcW w:w="1012" w:type="dxa"/>
            <w:tcBorders>
              <w:top w:val="nil"/>
              <w:left w:val="nil"/>
              <w:bottom w:val="single" w:sz="8" w:space="0" w:color="auto"/>
              <w:right w:val="single" w:sz="8" w:space="0" w:color="auto"/>
            </w:tcBorders>
            <w:shd w:val="clear" w:color="auto" w:fill="auto"/>
            <w:noWrap/>
            <w:vAlign w:val="center"/>
            <w:hideMark/>
          </w:tcPr>
          <w:p w14:paraId="6FC13D16"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2.500</w:t>
            </w:r>
          </w:p>
        </w:tc>
        <w:tc>
          <w:tcPr>
            <w:tcW w:w="1012" w:type="dxa"/>
            <w:tcBorders>
              <w:top w:val="nil"/>
              <w:left w:val="nil"/>
              <w:bottom w:val="single" w:sz="8" w:space="0" w:color="auto"/>
              <w:right w:val="single" w:sz="8" w:space="0" w:color="auto"/>
            </w:tcBorders>
            <w:shd w:val="clear" w:color="auto" w:fill="auto"/>
            <w:noWrap/>
            <w:vAlign w:val="center"/>
            <w:hideMark/>
          </w:tcPr>
          <w:p w14:paraId="6351774A"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2.500</w:t>
            </w:r>
          </w:p>
        </w:tc>
        <w:tc>
          <w:tcPr>
            <w:tcW w:w="1012" w:type="dxa"/>
            <w:tcBorders>
              <w:top w:val="nil"/>
              <w:left w:val="nil"/>
              <w:bottom w:val="single" w:sz="8" w:space="0" w:color="auto"/>
              <w:right w:val="single" w:sz="8" w:space="0" w:color="auto"/>
            </w:tcBorders>
            <w:shd w:val="clear" w:color="auto" w:fill="auto"/>
            <w:noWrap/>
            <w:vAlign w:val="center"/>
            <w:hideMark/>
          </w:tcPr>
          <w:p w14:paraId="475A4D4A"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r>
      <w:tr w:rsidR="0058442B" w:rsidRPr="003D2B87" w14:paraId="191EB51D"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2528C526"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NCC General Fund Contribution</w:t>
            </w:r>
          </w:p>
        </w:tc>
        <w:tc>
          <w:tcPr>
            <w:tcW w:w="1012" w:type="dxa"/>
            <w:tcBorders>
              <w:top w:val="nil"/>
              <w:left w:val="nil"/>
              <w:bottom w:val="single" w:sz="8" w:space="0" w:color="auto"/>
              <w:right w:val="single" w:sz="8" w:space="0" w:color="auto"/>
            </w:tcBorders>
            <w:shd w:val="clear" w:color="000000" w:fill="AEAAAA"/>
            <w:noWrap/>
            <w:vAlign w:val="center"/>
            <w:hideMark/>
          </w:tcPr>
          <w:p w14:paraId="281FF921"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6DA534E9"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c>
          <w:tcPr>
            <w:tcW w:w="1012" w:type="dxa"/>
            <w:tcBorders>
              <w:top w:val="nil"/>
              <w:left w:val="nil"/>
              <w:bottom w:val="single" w:sz="8" w:space="0" w:color="auto"/>
              <w:right w:val="single" w:sz="8" w:space="0" w:color="auto"/>
            </w:tcBorders>
            <w:shd w:val="clear" w:color="auto" w:fill="auto"/>
            <w:noWrap/>
            <w:vAlign w:val="center"/>
            <w:hideMark/>
          </w:tcPr>
          <w:p w14:paraId="75EBCB3F"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c>
          <w:tcPr>
            <w:tcW w:w="1012" w:type="dxa"/>
            <w:tcBorders>
              <w:top w:val="nil"/>
              <w:left w:val="nil"/>
              <w:bottom w:val="single" w:sz="8" w:space="0" w:color="auto"/>
              <w:right w:val="single" w:sz="8" w:space="0" w:color="auto"/>
            </w:tcBorders>
            <w:shd w:val="clear" w:color="auto" w:fill="auto"/>
            <w:noWrap/>
            <w:vAlign w:val="center"/>
            <w:hideMark/>
          </w:tcPr>
          <w:p w14:paraId="71E132C9"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c>
          <w:tcPr>
            <w:tcW w:w="1012" w:type="dxa"/>
            <w:tcBorders>
              <w:top w:val="nil"/>
              <w:left w:val="nil"/>
              <w:bottom w:val="single" w:sz="8" w:space="0" w:color="auto"/>
              <w:right w:val="single" w:sz="8" w:space="0" w:color="auto"/>
            </w:tcBorders>
            <w:shd w:val="clear" w:color="auto" w:fill="auto"/>
            <w:noWrap/>
            <w:vAlign w:val="center"/>
            <w:hideMark/>
          </w:tcPr>
          <w:p w14:paraId="67662F72"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c>
          <w:tcPr>
            <w:tcW w:w="1012" w:type="dxa"/>
            <w:tcBorders>
              <w:top w:val="nil"/>
              <w:left w:val="nil"/>
              <w:bottom w:val="single" w:sz="8" w:space="0" w:color="auto"/>
              <w:right w:val="single" w:sz="8" w:space="0" w:color="auto"/>
            </w:tcBorders>
            <w:shd w:val="clear" w:color="auto" w:fill="auto"/>
            <w:noWrap/>
            <w:vAlign w:val="center"/>
            <w:hideMark/>
          </w:tcPr>
          <w:p w14:paraId="56370DF1"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r>
      <w:tr w:rsidR="0058442B" w:rsidRPr="003D2B87" w14:paraId="0CCCA095" w14:textId="77777777" w:rsidTr="00786A5F">
        <w:trPr>
          <w:trHeight w:val="585"/>
        </w:trPr>
        <w:tc>
          <w:tcPr>
            <w:tcW w:w="4000" w:type="dxa"/>
            <w:tcBorders>
              <w:top w:val="nil"/>
              <w:left w:val="single" w:sz="8" w:space="0" w:color="auto"/>
              <w:bottom w:val="single" w:sz="8" w:space="0" w:color="auto"/>
              <w:right w:val="single" w:sz="8" w:space="0" w:color="auto"/>
            </w:tcBorders>
            <w:shd w:val="clear" w:color="auto" w:fill="auto"/>
            <w:vAlign w:val="center"/>
            <w:hideMark/>
          </w:tcPr>
          <w:p w14:paraId="4A16D5DA"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Schools, Early Years and Central Services Blocks Underspend</w:t>
            </w:r>
          </w:p>
        </w:tc>
        <w:tc>
          <w:tcPr>
            <w:tcW w:w="1012" w:type="dxa"/>
            <w:tcBorders>
              <w:top w:val="nil"/>
              <w:left w:val="nil"/>
              <w:bottom w:val="single" w:sz="8" w:space="0" w:color="auto"/>
              <w:right w:val="single" w:sz="8" w:space="0" w:color="auto"/>
            </w:tcBorders>
            <w:shd w:val="clear" w:color="000000" w:fill="AEAAAA"/>
            <w:vAlign w:val="center"/>
            <w:hideMark/>
          </w:tcPr>
          <w:p w14:paraId="6916EE80"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4.090</w:t>
            </w:r>
          </w:p>
        </w:tc>
        <w:tc>
          <w:tcPr>
            <w:tcW w:w="1012" w:type="dxa"/>
            <w:tcBorders>
              <w:top w:val="nil"/>
              <w:left w:val="nil"/>
              <w:bottom w:val="single" w:sz="8" w:space="0" w:color="auto"/>
              <w:right w:val="single" w:sz="8" w:space="0" w:color="auto"/>
            </w:tcBorders>
            <w:shd w:val="clear" w:color="auto" w:fill="auto"/>
            <w:vAlign w:val="center"/>
            <w:hideMark/>
          </w:tcPr>
          <w:p w14:paraId="2FC88A54"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vAlign w:val="center"/>
            <w:hideMark/>
          </w:tcPr>
          <w:p w14:paraId="3B6F8C96"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vAlign w:val="center"/>
            <w:hideMark/>
          </w:tcPr>
          <w:p w14:paraId="417128B0"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vAlign w:val="center"/>
            <w:hideMark/>
          </w:tcPr>
          <w:p w14:paraId="2D32CBBE"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vAlign w:val="center"/>
            <w:hideMark/>
          </w:tcPr>
          <w:p w14:paraId="10BF0FC5"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r>
      <w:tr w:rsidR="0058442B" w:rsidRPr="003D2B87" w14:paraId="4139E846" w14:textId="77777777" w:rsidTr="00786A5F">
        <w:trPr>
          <w:trHeight w:val="390"/>
        </w:trPr>
        <w:tc>
          <w:tcPr>
            <w:tcW w:w="4000" w:type="dxa"/>
            <w:tcBorders>
              <w:top w:val="nil"/>
              <w:left w:val="single" w:sz="8" w:space="0" w:color="auto"/>
              <w:bottom w:val="single" w:sz="8" w:space="0" w:color="auto"/>
              <w:right w:val="single" w:sz="8" w:space="0" w:color="auto"/>
            </w:tcBorders>
            <w:shd w:val="clear" w:color="000000" w:fill="262626"/>
            <w:noWrap/>
            <w:vAlign w:val="center"/>
            <w:hideMark/>
          </w:tcPr>
          <w:p w14:paraId="21392775" w14:textId="77777777" w:rsidR="0058442B" w:rsidRPr="003D2B87" w:rsidRDefault="0058442B" w:rsidP="0058442B">
            <w:pPr>
              <w:spacing w:after="0" w:line="240" w:lineRule="auto"/>
              <w:rPr>
                <w:rFonts w:ascii="Arial" w:eastAsia="Times New Roman" w:hAnsi="Arial" w:cs="Arial"/>
                <w:b/>
                <w:bCs/>
                <w:color w:val="FFFFFF"/>
                <w:lang w:eastAsia="en-GB"/>
              </w:rPr>
            </w:pPr>
            <w:r w:rsidRPr="003D2B87">
              <w:rPr>
                <w:rFonts w:ascii="Arial" w:eastAsia="Times New Roman" w:hAnsi="Arial" w:cs="Arial"/>
                <w:b/>
                <w:bCs/>
                <w:color w:val="FFFFFF"/>
                <w:lang w:eastAsia="en-GB"/>
              </w:rPr>
              <w:t>Total Resources Available</w:t>
            </w:r>
          </w:p>
        </w:tc>
        <w:tc>
          <w:tcPr>
            <w:tcW w:w="1012" w:type="dxa"/>
            <w:tcBorders>
              <w:top w:val="nil"/>
              <w:left w:val="nil"/>
              <w:bottom w:val="single" w:sz="8" w:space="0" w:color="auto"/>
              <w:right w:val="single" w:sz="8" w:space="0" w:color="auto"/>
            </w:tcBorders>
            <w:shd w:val="clear" w:color="000000" w:fill="262626"/>
            <w:noWrap/>
            <w:vAlign w:val="center"/>
            <w:hideMark/>
          </w:tcPr>
          <w:p w14:paraId="28AB773E"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86.917</w:t>
            </w:r>
          </w:p>
        </w:tc>
        <w:tc>
          <w:tcPr>
            <w:tcW w:w="1012" w:type="dxa"/>
            <w:tcBorders>
              <w:top w:val="nil"/>
              <w:left w:val="nil"/>
              <w:bottom w:val="single" w:sz="8" w:space="0" w:color="auto"/>
              <w:right w:val="single" w:sz="8" w:space="0" w:color="auto"/>
            </w:tcBorders>
            <w:shd w:val="clear" w:color="000000" w:fill="262626"/>
            <w:noWrap/>
            <w:vAlign w:val="center"/>
            <w:hideMark/>
          </w:tcPr>
          <w:p w14:paraId="550A40CA"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88.812</w:t>
            </w:r>
          </w:p>
        </w:tc>
        <w:tc>
          <w:tcPr>
            <w:tcW w:w="1012" w:type="dxa"/>
            <w:tcBorders>
              <w:top w:val="nil"/>
              <w:left w:val="nil"/>
              <w:bottom w:val="single" w:sz="8" w:space="0" w:color="auto"/>
              <w:right w:val="single" w:sz="8" w:space="0" w:color="auto"/>
            </w:tcBorders>
            <w:shd w:val="clear" w:color="000000" w:fill="262626"/>
            <w:noWrap/>
            <w:vAlign w:val="center"/>
            <w:hideMark/>
          </w:tcPr>
          <w:p w14:paraId="0564793A"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97.068</w:t>
            </w:r>
          </w:p>
        </w:tc>
        <w:tc>
          <w:tcPr>
            <w:tcW w:w="1012" w:type="dxa"/>
            <w:tcBorders>
              <w:top w:val="nil"/>
              <w:left w:val="nil"/>
              <w:bottom w:val="single" w:sz="8" w:space="0" w:color="auto"/>
              <w:right w:val="single" w:sz="8" w:space="0" w:color="auto"/>
            </w:tcBorders>
            <w:shd w:val="clear" w:color="000000" w:fill="262626"/>
            <w:noWrap/>
            <w:vAlign w:val="center"/>
            <w:hideMark/>
          </w:tcPr>
          <w:p w14:paraId="7A8B5280"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97.918</w:t>
            </w:r>
          </w:p>
        </w:tc>
        <w:tc>
          <w:tcPr>
            <w:tcW w:w="1012" w:type="dxa"/>
            <w:tcBorders>
              <w:top w:val="nil"/>
              <w:left w:val="nil"/>
              <w:bottom w:val="single" w:sz="8" w:space="0" w:color="auto"/>
              <w:right w:val="single" w:sz="8" w:space="0" w:color="auto"/>
            </w:tcBorders>
            <w:shd w:val="clear" w:color="000000" w:fill="262626"/>
            <w:noWrap/>
            <w:vAlign w:val="center"/>
            <w:hideMark/>
          </w:tcPr>
          <w:p w14:paraId="4DE8EDB0"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98.771</w:t>
            </w:r>
          </w:p>
        </w:tc>
        <w:tc>
          <w:tcPr>
            <w:tcW w:w="1012" w:type="dxa"/>
            <w:tcBorders>
              <w:top w:val="nil"/>
              <w:left w:val="nil"/>
              <w:bottom w:val="single" w:sz="8" w:space="0" w:color="auto"/>
              <w:right w:val="single" w:sz="8" w:space="0" w:color="auto"/>
            </w:tcBorders>
            <w:shd w:val="clear" w:color="000000" w:fill="262626"/>
            <w:noWrap/>
            <w:vAlign w:val="center"/>
            <w:hideMark/>
          </w:tcPr>
          <w:p w14:paraId="7BF35612"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94.572</w:t>
            </w:r>
          </w:p>
        </w:tc>
      </w:tr>
      <w:tr w:rsidR="0058442B" w:rsidRPr="003D2B87" w14:paraId="66683DFA"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6590A975"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000000" w:fill="AEAAAA"/>
            <w:noWrap/>
            <w:vAlign w:val="center"/>
            <w:hideMark/>
          </w:tcPr>
          <w:p w14:paraId="79C1DA26"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1CDACC2F"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10D7DB9A"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44106316"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43B6090D"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39860B32"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r>
      <w:tr w:rsidR="0058442B" w:rsidRPr="003D2B87" w14:paraId="74378393"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481E7E3B"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Placement Budget brought forward</w:t>
            </w:r>
          </w:p>
        </w:tc>
        <w:tc>
          <w:tcPr>
            <w:tcW w:w="1012" w:type="dxa"/>
            <w:tcBorders>
              <w:top w:val="nil"/>
              <w:left w:val="nil"/>
              <w:bottom w:val="single" w:sz="8" w:space="0" w:color="auto"/>
              <w:right w:val="single" w:sz="8" w:space="0" w:color="auto"/>
            </w:tcBorders>
            <w:shd w:val="clear" w:color="000000" w:fill="AEAAAA"/>
            <w:noWrap/>
            <w:vAlign w:val="center"/>
            <w:hideMark/>
          </w:tcPr>
          <w:p w14:paraId="54DD722D"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4E7212E5"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80.488</w:t>
            </w:r>
          </w:p>
        </w:tc>
        <w:tc>
          <w:tcPr>
            <w:tcW w:w="1012" w:type="dxa"/>
            <w:tcBorders>
              <w:top w:val="nil"/>
              <w:left w:val="nil"/>
              <w:bottom w:val="single" w:sz="8" w:space="0" w:color="auto"/>
              <w:right w:val="single" w:sz="8" w:space="0" w:color="auto"/>
            </w:tcBorders>
            <w:shd w:val="clear" w:color="auto" w:fill="auto"/>
            <w:noWrap/>
            <w:vAlign w:val="center"/>
            <w:hideMark/>
          </w:tcPr>
          <w:p w14:paraId="094BC046"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83.478</w:t>
            </w:r>
          </w:p>
        </w:tc>
        <w:tc>
          <w:tcPr>
            <w:tcW w:w="1012" w:type="dxa"/>
            <w:tcBorders>
              <w:top w:val="nil"/>
              <w:left w:val="nil"/>
              <w:bottom w:val="single" w:sz="8" w:space="0" w:color="auto"/>
              <w:right w:val="single" w:sz="8" w:space="0" w:color="auto"/>
            </w:tcBorders>
            <w:shd w:val="clear" w:color="auto" w:fill="auto"/>
            <w:noWrap/>
            <w:vAlign w:val="center"/>
            <w:hideMark/>
          </w:tcPr>
          <w:p w14:paraId="3A1BF22E"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82.815</w:t>
            </w:r>
          </w:p>
        </w:tc>
        <w:tc>
          <w:tcPr>
            <w:tcW w:w="1012" w:type="dxa"/>
            <w:tcBorders>
              <w:top w:val="nil"/>
              <w:left w:val="nil"/>
              <w:bottom w:val="single" w:sz="8" w:space="0" w:color="auto"/>
              <w:right w:val="single" w:sz="8" w:space="0" w:color="auto"/>
            </w:tcBorders>
            <w:shd w:val="clear" w:color="auto" w:fill="auto"/>
            <w:noWrap/>
            <w:vAlign w:val="center"/>
            <w:hideMark/>
          </w:tcPr>
          <w:p w14:paraId="5D26A3C1"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78.385</w:t>
            </w:r>
          </w:p>
        </w:tc>
        <w:tc>
          <w:tcPr>
            <w:tcW w:w="1012" w:type="dxa"/>
            <w:tcBorders>
              <w:top w:val="nil"/>
              <w:left w:val="nil"/>
              <w:bottom w:val="single" w:sz="8" w:space="0" w:color="auto"/>
              <w:right w:val="single" w:sz="8" w:space="0" w:color="auto"/>
            </w:tcBorders>
            <w:shd w:val="clear" w:color="auto" w:fill="auto"/>
            <w:noWrap/>
            <w:vAlign w:val="center"/>
            <w:hideMark/>
          </w:tcPr>
          <w:p w14:paraId="2E65032C"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77.015</w:t>
            </w:r>
          </w:p>
        </w:tc>
      </w:tr>
      <w:tr w:rsidR="0058442B" w:rsidRPr="003D2B87" w14:paraId="555E0346"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10BFA161"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Demographics and unmet demand</w:t>
            </w:r>
          </w:p>
        </w:tc>
        <w:tc>
          <w:tcPr>
            <w:tcW w:w="1012" w:type="dxa"/>
            <w:tcBorders>
              <w:top w:val="nil"/>
              <w:left w:val="nil"/>
              <w:bottom w:val="single" w:sz="8" w:space="0" w:color="auto"/>
              <w:right w:val="single" w:sz="8" w:space="0" w:color="auto"/>
            </w:tcBorders>
            <w:shd w:val="clear" w:color="000000" w:fill="AEAAAA"/>
            <w:noWrap/>
            <w:vAlign w:val="center"/>
            <w:hideMark/>
          </w:tcPr>
          <w:p w14:paraId="229ECD33"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4132D187"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5.617</w:t>
            </w:r>
          </w:p>
        </w:tc>
        <w:tc>
          <w:tcPr>
            <w:tcW w:w="1012" w:type="dxa"/>
            <w:tcBorders>
              <w:top w:val="nil"/>
              <w:left w:val="nil"/>
              <w:bottom w:val="single" w:sz="8" w:space="0" w:color="auto"/>
              <w:right w:val="single" w:sz="8" w:space="0" w:color="auto"/>
            </w:tcBorders>
            <w:shd w:val="clear" w:color="auto" w:fill="auto"/>
            <w:noWrap/>
            <w:vAlign w:val="center"/>
            <w:hideMark/>
          </w:tcPr>
          <w:p w14:paraId="559D0421"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6.748</w:t>
            </w:r>
          </w:p>
        </w:tc>
        <w:tc>
          <w:tcPr>
            <w:tcW w:w="1012" w:type="dxa"/>
            <w:tcBorders>
              <w:top w:val="nil"/>
              <w:left w:val="nil"/>
              <w:bottom w:val="single" w:sz="8" w:space="0" w:color="auto"/>
              <w:right w:val="single" w:sz="8" w:space="0" w:color="auto"/>
            </w:tcBorders>
            <w:shd w:val="clear" w:color="auto" w:fill="auto"/>
            <w:noWrap/>
            <w:vAlign w:val="center"/>
            <w:hideMark/>
          </w:tcPr>
          <w:p w14:paraId="03B448E6"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5.206</w:t>
            </w:r>
          </w:p>
        </w:tc>
        <w:tc>
          <w:tcPr>
            <w:tcW w:w="1012" w:type="dxa"/>
            <w:tcBorders>
              <w:top w:val="nil"/>
              <w:left w:val="nil"/>
              <w:bottom w:val="single" w:sz="8" w:space="0" w:color="auto"/>
              <w:right w:val="single" w:sz="8" w:space="0" w:color="auto"/>
            </w:tcBorders>
            <w:shd w:val="clear" w:color="auto" w:fill="auto"/>
            <w:noWrap/>
            <w:vAlign w:val="center"/>
            <w:hideMark/>
          </w:tcPr>
          <w:p w14:paraId="365D4A0A"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5.206</w:t>
            </w:r>
          </w:p>
        </w:tc>
        <w:tc>
          <w:tcPr>
            <w:tcW w:w="1012" w:type="dxa"/>
            <w:tcBorders>
              <w:top w:val="nil"/>
              <w:left w:val="nil"/>
              <w:bottom w:val="single" w:sz="8" w:space="0" w:color="auto"/>
              <w:right w:val="single" w:sz="8" w:space="0" w:color="auto"/>
            </w:tcBorders>
            <w:shd w:val="clear" w:color="auto" w:fill="auto"/>
            <w:noWrap/>
            <w:vAlign w:val="center"/>
            <w:hideMark/>
          </w:tcPr>
          <w:p w14:paraId="33EE3B19"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5.206</w:t>
            </w:r>
          </w:p>
        </w:tc>
      </w:tr>
      <w:tr w:rsidR="0058442B" w:rsidRPr="003D2B87" w14:paraId="63693861"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12B0826D"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Demand Management *</w:t>
            </w:r>
          </w:p>
        </w:tc>
        <w:tc>
          <w:tcPr>
            <w:tcW w:w="1012" w:type="dxa"/>
            <w:tcBorders>
              <w:top w:val="nil"/>
              <w:left w:val="nil"/>
              <w:bottom w:val="single" w:sz="8" w:space="0" w:color="auto"/>
              <w:right w:val="single" w:sz="8" w:space="0" w:color="auto"/>
            </w:tcBorders>
            <w:shd w:val="clear" w:color="000000" w:fill="AEAAAA"/>
            <w:noWrap/>
            <w:vAlign w:val="center"/>
            <w:hideMark/>
          </w:tcPr>
          <w:p w14:paraId="18885BF4"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423C56A3"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c>
          <w:tcPr>
            <w:tcW w:w="1012" w:type="dxa"/>
            <w:tcBorders>
              <w:top w:val="nil"/>
              <w:left w:val="nil"/>
              <w:bottom w:val="single" w:sz="8" w:space="0" w:color="auto"/>
              <w:right w:val="single" w:sz="8" w:space="0" w:color="auto"/>
            </w:tcBorders>
            <w:shd w:val="clear" w:color="auto" w:fill="auto"/>
            <w:noWrap/>
            <w:vAlign w:val="center"/>
            <w:hideMark/>
          </w:tcPr>
          <w:p w14:paraId="1FD4917F"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c>
          <w:tcPr>
            <w:tcW w:w="1012" w:type="dxa"/>
            <w:tcBorders>
              <w:top w:val="nil"/>
              <w:left w:val="nil"/>
              <w:bottom w:val="single" w:sz="8" w:space="0" w:color="auto"/>
              <w:right w:val="single" w:sz="8" w:space="0" w:color="auto"/>
            </w:tcBorders>
            <w:shd w:val="clear" w:color="auto" w:fill="auto"/>
            <w:noWrap/>
            <w:vAlign w:val="center"/>
            <w:hideMark/>
          </w:tcPr>
          <w:p w14:paraId="38DE664A"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-1.080</w:t>
            </w:r>
          </w:p>
        </w:tc>
        <w:tc>
          <w:tcPr>
            <w:tcW w:w="1012" w:type="dxa"/>
            <w:tcBorders>
              <w:top w:val="nil"/>
              <w:left w:val="nil"/>
              <w:bottom w:val="single" w:sz="8" w:space="0" w:color="auto"/>
              <w:right w:val="single" w:sz="8" w:space="0" w:color="auto"/>
            </w:tcBorders>
            <w:shd w:val="clear" w:color="auto" w:fill="auto"/>
            <w:noWrap/>
            <w:vAlign w:val="center"/>
            <w:hideMark/>
          </w:tcPr>
          <w:p w14:paraId="470704B7"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-2.931</w:t>
            </w:r>
          </w:p>
        </w:tc>
        <w:tc>
          <w:tcPr>
            <w:tcW w:w="1012" w:type="dxa"/>
            <w:tcBorders>
              <w:top w:val="nil"/>
              <w:left w:val="nil"/>
              <w:bottom w:val="single" w:sz="8" w:space="0" w:color="auto"/>
              <w:right w:val="single" w:sz="8" w:space="0" w:color="auto"/>
            </w:tcBorders>
            <w:shd w:val="clear" w:color="auto" w:fill="auto"/>
            <w:noWrap/>
            <w:vAlign w:val="center"/>
            <w:hideMark/>
          </w:tcPr>
          <w:p w14:paraId="734CC688"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-4.620</w:t>
            </w:r>
          </w:p>
        </w:tc>
      </w:tr>
      <w:tr w:rsidR="0058442B" w:rsidRPr="003D2B87" w14:paraId="30D77D89"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56A4CD82"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Savings *</w:t>
            </w:r>
          </w:p>
        </w:tc>
        <w:tc>
          <w:tcPr>
            <w:tcW w:w="1012" w:type="dxa"/>
            <w:tcBorders>
              <w:top w:val="nil"/>
              <w:left w:val="nil"/>
              <w:bottom w:val="single" w:sz="8" w:space="0" w:color="auto"/>
              <w:right w:val="single" w:sz="8" w:space="0" w:color="auto"/>
            </w:tcBorders>
            <w:shd w:val="clear" w:color="000000" w:fill="AEAAAA"/>
            <w:noWrap/>
            <w:vAlign w:val="center"/>
            <w:hideMark/>
          </w:tcPr>
          <w:p w14:paraId="0B6CE020"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6ADEF4AE"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-2.207</w:t>
            </w:r>
          </w:p>
        </w:tc>
        <w:tc>
          <w:tcPr>
            <w:tcW w:w="1012" w:type="dxa"/>
            <w:tcBorders>
              <w:top w:val="nil"/>
              <w:left w:val="nil"/>
              <w:bottom w:val="single" w:sz="8" w:space="0" w:color="auto"/>
              <w:right w:val="single" w:sz="8" w:space="0" w:color="auto"/>
            </w:tcBorders>
            <w:shd w:val="clear" w:color="auto" w:fill="auto"/>
            <w:noWrap/>
            <w:vAlign w:val="center"/>
            <w:hideMark/>
          </w:tcPr>
          <w:p w14:paraId="065D94E0"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-7.411</w:t>
            </w:r>
          </w:p>
        </w:tc>
        <w:tc>
          <w:tcPr>
            <w:tcW w:w="1012" w:type="dxa"/>
            <w:tcBorders>
              <w:top w:val="nil"/>
              <w:left w:val="nil"/>
              <w:bottom w:val="single" w:sz="8" w:space="0" w:color="auto"/>
              <w:right w:val="single" w:sz="8" w:space="0" w:color="auto"/>
            </w:tcBorders>
            <w:shd w:val="clear" w:color="auto" w:fill="auto"/>
            <w:noWrap/>
            <w:vAlign w:val="center"/>
            <w:hideMark/>
          </w:tcPr>
          <w:p w14:paraId="4F250AF3"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-8.556</w:t>
            </w:r>
          </w:p>
        </w:tc>
        <w:tc>
          <w:tcPr>
            <w:tcW w:w="1012" w:type="dxa"/>
            <w:tcBorders>
              <w:top w:val="nil"/>
              <w:left w:val="nil"/>
              <w:bottom w:val="single" w:sz="8" w:space="0" w:color="auto"/>
              <w:right w:val="single" w:sz="8" w:space="0" w:color="auto"/>
            </w:tcBorders>
            <w:shd w:val="clear" w:color="auto" w:fill="auto"/>
            <w:noWrap/>
            <w:vAlign w:val="center"/>
            <w:hideMark/>
          </w:tcPr>
          <w:p w14:paraId="5B21E13F"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-3.644</w:t>
            </w:r>
          </w:p>
        </w:tc>
        <w:tc>
          <w:tcPr>
            <w:tcW w:w="1012" w:type="dxa"/>
            <w:tcBorders>
              <w:top w:val="nil"/>
              <w:left w:val="nil"/>
              <w:bottom w:val="single" w:sz="8" w:space="0" w:color="auto"/>
              <w:right w:val="single" w:sz="8" w:space="0" w:color="auto"/>
            </w:tcBorders>
            <w:shd w:val="clear" w:color="auto" w:fill="auto"/>
            <w:noWrap/>
            <w:vAlign w:val="center"/>
            <w:hideMark/>
          </w:tcPr>
          <w:p w14:paraId="3DCB06FA"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-1.853</w:t>
            </w:r>
          </w:p>
        </w:tc>
      </w:tr>
      <w:tr w:rsidR="0058442B" w:rsidRPr="003D2B87" w14:paraId="0ABF8DBF" w14:textId="77777777" w:rsidTr="00786A5F">
        <w:trPr>
          <w:trHeight w:val="390"/>
        </w:trPr>
        <w:tc>
          <w:tcPr>
            <w:tcW w:w="4000" w:type="dxa"/>
            <w:tcBorders>
              <w:top w:val="nil"/>
              <w:left w:val="single" w:sz="8" w:space="0" w:color="auto"/>
              <w:bottom w:val="single" w:sz="8" w:space="0" w:color="auto"/>
              <w:right w:val="single" w:sz="8" w:space="0" w:color="auto"/>
            </w:tcBorders>
            <w:shd w:val="clear" w:color="000000" w:fill="595959"/>
            <w:noWrap/>
            <w:vAlign w:val="center"/>
            <w:hideMark/>
          </w:tcPr>
          <w:p w14:paraId="55F7CD01" w14:textId="77777777" w:rsidR="0058442B" w:rsidRPr="003D2B87" w:rsidRDefault="0058442B" w:rsidP="0058442B">
            <w:pPr>
              <w:spacing w:after="0" w:line="240" w:lineRule="auto"/>
              <w:rPr>
                <w:rFonts w:ascii="Arial" w:eastAsia="Times New Roman" w:hAnsi="Arial" w:cs="Arial"/>
                <w:color w:val="FFFFFF"/>
                <w:lang w:eastAsia="en-GB"/>
              </w:rPr>
            </w:pPr>
            <w:r w:rsidRPr="003D2B87">
              <w:rPr>
                <w:rFonts w:ascii="Arial" w:eastAsia="Times New Roman" w:hAnsi="Arial" w:cs="Arial"/>
                <w:color w:val="FFFFFF"/>
                <w:lang w:eastAsia="en-GB"/>
              </w:rPr>
              <w:t>Sub-Total Placement Costs</w:t>
            </w:r>
          </w:p>
        </w:tc>
        <w:tc>
          <w:tcPr>
            <w:tcW w:w="1012" w:type="dxa"/>
            <w:tcBorders>
              <w:top w:val="nil"/>
              <w:left w:val="nil"/>
              <w:bottom w:val="single" w:sz="8" w:space="0" w:color="auto"/>
              <w:right w:val="single" w:sz="8" w:space="0" w:color="auto"/>
            </w:tcBorders>
            <w:shd w:val="clear" w:color="000000" w:fill="595959"/>
            <w:noWrap/>
            <w:vAlign w:val="center"/>
            <w:hideMark/>
          </w:tcPr>
          <w:p w14:paraId="1E809035" w14:textId="77777777" w:rsidR="0058442B" w:rsidRPr="003D2B87" w:rsidRDefault="0058442B" w:rsidP="0058442B">
            <w:pPr>
              <w:spacing w:after="0" w:line="240" w:lineRule="auto"/>
              <w:jc w:val="center"/>
              <w:rPr>
                <w:rFonts w:ascii="Arial" w:eastAsia="Times New Roman" w:hAnsi="Arial" w:cs="Arial"/>
                <w:color w:val="FFFFFF"/>
                <w:lang w:eastAsia="en-GB"/>
              </w:rPr>
            </w:pPr>
            <w:r w:rsidRPr="003D2B87">
              <w:rPr>
                <w:rFonts w:ascii="Arial" w:eastAsia="Times New Roman" w:hAnsi="Arial" w:cs="Arial"/>
                <w:color w:val="FFFFFF"/>
                <w:lang w:eastAsia="en-GB"/>
              </w:rPr>
              <w:t>80.488</w:t>
            </w:r>
          </w:p>
        </w:tc>
        <w:tc>
          <w:tcPr>
            <w:tcW w:w="1012" w:type="dxa"/>
            <w:tcBorders>
              <w:top w:val="nil"/>
              <w:left w:val="nil"/>
              <w:bottom w:val="single" w:sz="8" w:space="0" w:color="auto"/>
              <w:right w:val="single" w:sz="8" w:space="0" w:color="auto"/>
            </w:tcBorders>
            <w:shd w:val="clear" w:color="000000" w:fill="595959"/>
            <w:noWrap/>
            <w:vAlign w:val="center"/>
            <w:hideMark/>
          </w:tcPr>
          <w:p w14:paraId="452909DC" w14:textId="77777777" w:rsidR="0058442B" w:rsidRPr="003D2B87" w:rsidRDefault="0058442B" w:rsidP="0058442B">
            <w:pPr>
              <w:spacing w:after="0" w:line="240" w:lineRule="auto"/>
              <w:jc w:val="center"/>
              <w:rPr>
                <w:rFonts w:ascii="Arial" w:eastAsia="Times New Roman" w:hAnsi="Arial" w:cs="Arial"/>
                <w:color w:val="FFFFFF"/>
                <w:lang w:eastAsia="en-GB"/>
              </w:rPr>
            </w:pPr>
            <w:r w:rsidRPr="003D2B87">
              <w:rPr>
                <w:rFonts w:ascii="Arial" w:eastAsia="Times New Roman" w:hAnsi="Arial" w:cs="Arial"/>
                <w:color w:val="FFFFFF"/>
                <w:lang w:eastAsia="en-GB"/>
              </w:rPr>
              <w:t>83.899</w:t>
            </w:r>
          </w:p>
        </w:tc>
        <w:tc>
          <w:tcPr>
            <w:tcW w:w="1012" w:type="dxa"/>
            <w:tcBorders>
              <w:top w:val="nil"/>
              <w:left w:val="nil"/>
              <w:bottom w:val="single" w:sz="8" w:space="0" w:color="auto"/>
              <w:right w:val="single" w:sz="8" w:space="0" w:color="auto"/>
            </w:tcBorders>
            <w:shd w:val="clear" w:color="000000" w:fill="595959"/>
            <w:noWrap/>
            <w:vAlign w:val="center"/>
            <w:hideMark/>
          </w:tcPr>
          <w:p w14:paraId="526C1722" w14:textId="77777777" w:rsidR="0058442B" w:rsidRPr="003D2B87" w:rsidRDefault="0058442B" w:rsidP="0058442B">
            <w:pPr>
              <w:spacing w:after="0" w:line="240" w:lineRule="auto"/>
              <w:jc w:val="center"/>
              <w:rPr>
                <w:rFonts w:ascii="Arial" w:eastAsia="Times New Roman" w:hAnsi="Arial" w:cs="Arial"/>
                <w:color w:val="FFFFFF"/>
                <w:lang w:eastAsia="en-GB"/>
              </w:rPr>
            </w:pPr>
            <w:r w:rsidRPr="003D2B87">
              <w:rPr>
                <w:rFonts w:ascii="Arial" w:eastAsia="Times New Roman" w:hAnsi="Arial" w:cs="Arial"/>
                <w:color w:val="FFFFFF"/>
                <w:lang w:eastAsia="en-GB"/>
              </w:rPr>
              <w:t>82.815</w:t>
            </w:r>
          </w:p>
        </w:tc>
        <w:tc>
          <w:tcPr>
            <w:tcW w:w="1012" w:type="dxa"/>
            <w:tcBorders>
              <w:top w:val="nil"/>
              <w:left w:val="nil"/>
              <w:bottom w:val="single" w:sz="8" w:space="0" w:color="auto"/>
              <w:right w:val="single" w:sz="8" w:space="0" w:color="auto"/>
            </w:tcBorders>
            <w:shd w:val="clear" w:color="000000" w:fill="595959"/>
            <w:noWrap/>
            <w:vAlign w:val="center"/>
            <w:hideMark/>
          </w:tcPr>
          <w:p w14:paraId="17C067DE" w14:textId="77777777" w:rsidR="0058442B" w:rsidRPr="003D2B87" w:rsidRDefault="0058442B" w:rsidP="0058442B">
            <w:pPr>
              <w:spacing w:after="0" w:line="240" w:lineRule="auto"/>
              <w:jc w:val="center"/>
              <w:rPr>
                <w:rFonts w:ascii="Arial" w:eastAsia="Times New Roman" w:hAnsi="Arial" w:cs="Arial"/>
                <w:color w:val="FFFFFF"/>
                <w:lang w:eastAsia="en-GB"/>
              </w:rPr>
            </w:pPr>
            <w:r w:rsidRPr="003D2B87">
              <w:rPr>
                <w:rFonts w:ascii="Arial" w:eastAsia="Times New Roman" w:hAnsi="Arial" w:cs="Arial"/>
                <w:color w:val="FFFFFF"/>
                <w:lang w:eastAsia="en-GB"/>
              </w:rPr>
              <w:t>78.385</w:t>
            </w:r>
          </w:p>
        </w:tc>
        <w:tc>
          <w:tcPr>
            <w:tcW w:w="1012" w:type="dxa"/>
            <w:tcBorders>
              <w:top w:val="nil"/>
              <w:left w:val="nil"/>
              <w:bottom w:val="single" w:sz="8" w:space="0" w:color="auto"/>
              <w:right w:val="single" w:sz="8" w:space="0" w:color="auto"/>
            </w:tcBorders>
            <w:shd w:val="clear" w:color="000000" w:fill="595959"/>
            <w:noWrap/>
            <w:vAlign w:val="center"/>
            <w:hideMark/>
          </w:tcPr>
          <w:p w14:paraId="4B5D746F" w14:textId="77777777" w:rsidR="0058442B" w:rsidRPr="003D2B87" w:rsidRDefault="0058442B" w:rsidP="0058442B">
            <w:pPr>
              <w:spacing w:after="0" w:line="240" w:lineRule="auto"/>
              <w:jc w:val="center"/>
              <w:rPr>
                <w:rFonts w:ascii="Arial" w:eastAsia="Times New Roman" w:hAnsi="Arial" w:cs="Arial"/>
                <w:color w:val="FFFFFF"/>
                <w:lang w:eastAsia="en-GB"/>
              </w:rPr>
            </w:pPr>
            <w:r w:rsidRPr="003D2B87">
              <w:rPr>
                <w:rFonts w:ascii="Arial" w:eastAsia="Times New Roman" w:hAnsi="Arial" w:cs="Arial"/>
                <w:color w:val="FFFFFF"/>
                <w:lang w:eastAsia="en-GB"/>
              </w:rPr>
              <w:t>77.015</w:t>
            </w:r>
          </w:p>
        </w:tc>
        <w:tc>
          <w:tcPr>
            <w:tcW w:w="1012" w:type="dxa"/>
            <w:tcBorders>
              <w:top w:val="nil"/>
              <w:left w:val="nil"/>
              <w:bottom w:val="single" w:sz="8" w:space="0" w:color="auto"/>
              <w:right w:val="single" w:sz="8" w:space="0" w:color="auto"/>
            </w:tcBorders>
            <w:shd w:val="clear" w:color="000000" w:fill="595959"/>
            <w:noWrap/>
            <w:vAlign w:val="center"/>
            <w:hideMark/>
          </w:tcPr>
          <w:p w14:paraId="5B48966C" w14:textId="77777777" w:rsidR="0058442B" w:rsidRPr="003D2B87" w:rsidRDefault="0058442B" w:rsidP="0058442B">
            <w:pPr>
              <w:spacing w:after="0" w:line="240" w:lineRule="auto"/>
              <w:jc w:val="center"/>
              <w:rPr>
                <w:rFonts w:ascii="Arial" w:eastAsia="Times New Roman" w:hAnsi="Arial" w:cs="Arial"/>
                <w:color w:val="FFFFFF"/>
                <w:lang w:eastAsia="en-GB"/>
              </w:rPr>
            </w:pPr>
            <w:r w:rsidRPr="003D2B87">
              <w:rPr>
                <w:rFonts w:ascii="Arial" w:eastAsia="Times New Roman" w:hAnsi="Arial" w:cs="Arial"/>
                <w:color w:val="FFFFFF"/>
                <w:lang w:eastAsia="en-GB"/>
              </w:rPr>
              <w:t>75.749</w:t>
            </w:r>
          </w:p>
        </w:tc>
      </w:tr>
      <w:tr w:rsidR="0058442B" w:rsidRPr="003D2B87" w14:paraId="04709316" w14:textId="77777777" w:rsidTr="00786A5F">
        <w:trPr>
          <w:trHeight w:val="1155"/>
        </w:trPr>
        <w:tc>
          <w:tcPr>
            <w:tcW w:w="4000" w:type="dxa"/>
            <w:tcBorders>
              <w:top w:val="nil"/>
              <w:left w:val="single" w:sz="8" w:space="0" w:color="auto"/>
              <w:bottom w:val="single" w:sz="8" w:space="0" w:color="auto"/>
              <w:right w:val="single" w:sz="8" w:space="0" w:color="auto"/>
            </w:tcBorders>
            <w:shd w:val="clear" w:color="auto" w:fill="auto"/>
            <w:vAlign w:val="center"/>
            <w:hideMark/>
          </w:tcPr>
          <w:p w14:paraId="71AD8A10"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Pupil specific supplementary High Needs SEND funding in mainstream schools - includes Element 3 SEND and exceptional circumstances funding</w:t>
            </w:r>
          </w:p>
        </w:tc>
        <w:tc>
          <w:tcPr>
            <w:tcW w:w="1012" w:type="dxa"/>
            <w:tcBorders>
              <w:top w:val="nil"/>
              <w:left w:val="nil"/>
              <w:bottom w:val="single" w:sz="8" w:space="0" w:color="auto"/>
              <w:right w:val="single" w:sz="8" w:space="0" w:color="auto"/>
            </w:tcBorders>
            <w:shd w:val="clear" w:color="000000" w:fill="AEAAAA"/>
            <w:noWrap/>
            <w:vAlign w:val="center"/>
            <w:hideMark/>
          </w:tcPr>
          <w:p w14:paraId="29967210"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6.075</w:t>
            </w:r>
          </w:p>
        </w:tc>
        <w:tc>
          <w:tcPr>
            <w:tcW w:w="1012" w:type="dxa"/>
            <w:tcBorders>
              <w:top w:val="nil"/>
              <w:left w:val="nil"/>
              <w:bottom w:val="single" w:sz="8" w:space="0" w:color="auto"/>
              <w:right w:val="single" w:sz="8" w:space="0" w:color="auto"/>
            </w:tcBorders>
            <w:shd w:val="clear" w:color="auto" w:fill="auto"/>
            <w:noWrap/>
            <w:vAlign w:val="center"/>
            <w:hideMark/>
          </w:tcPr>
          <w:p w14:paraId="0BA2992C"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8.439</w:t>
            </w:r>
          </w:p>
        </w:tc>
        <w:tc>
          <w:tcPr>
            <w:tcW w:w="1012" w:type="dxa"/>
            <w:tcBorders>
              <w:top w:val="nil"/>
              <w:left w:val="nil"/>
              <w:bottom w:val="single" w:sz="8" w:space="0" w:color="auto"/>
              <w:right w:val="single" w:sz="8" w:space="0" w:color="auto"/>
            </w:tcBorders>
            <w:shd w:val="clear" w:color="auto" w:fill="auto"/>
            <w:noWrap/>
            <w:vAlign w:val="center"/>
            <w:hideMark/>
          </w:tcPr>
          <w:p w14:paraId="77DAD9CA"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8.439</w:t>
            </w:r>
          </w:p>
        </w:tc>
        <w:tc>
          <w:tcPr>
            <w:tcW w:w="1012" w:type="dxa"/>
            <w:tcBorders>
              <w:top w:val="nil"/>
              <w:left w:val="nil"/>
              <w:bottom w:val="single" w:sz="8" w:space="0" w:color="auto"/>
              <w:right w:val="single" w:sz="8" w:space="0" w:color="auto"/>
            </w:tcBorders>
            <w:shd w:val="clear" w:color="auto" w:fill="auto"/>
            <w:noWrap/>
            <w:vAlign w:val="center"/>
            <w:hideMark/>
          </w:tcPr>
          <w:p w14:paraId="21E20C0D"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8.439</w:t>
            </w:r>
          </w:p>
        </w:tc>
        <w:tc>
          <w:tcPr>
            <w:tcW w:w="1012" w:type="dxa"/>
            <w:tcBorders>
              <w:top w:val="nil"/>
              <w:left w:val="nil"/>
              <w:bottom w:val="single" w:sz="8" w:space="0" w:color="auto"/>
              <w:right w:val="single" w:sz="8" w:space="0" w:color="auto"/>
            </w:tcBorders>
            <w:shd w:val="clear" w:color="auto" w:fill="auto"/>
            <w:noWrap/>
            <w:vAlign w:val="center"/>
            <w:hideMark/>
          </w:tcPr>
          <w:p w14:paraId="77F51753"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8.439</w:t>
            </w:r>
          </w:p>
        </w:tc>
        <w:tc>
          <w:tcPr>
            <w:tcW w:w="1012" w:type="dxa"/>
            <w:tcBorders>
              <w:top w:val="nil"/>
              <w:left w:val="nil"/>
              <w:bottom w:val="single" w:sz="8" w:space="0" w:color="auto"/>
              <w:right w:val="single" w:sz="8" w:space="0" w:color="auto"/>
            </w:tcBorders>
            <w:shd w:val="clear" w:color="auto" w:fill="auto"/>
            <w:noWrap/>
            <w:vAlign w:val="center"/>
            <w:hideMark/>
          </w:tcPr>
          <w:p w14:paraId="108CCBBC"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8.439</w:t>
            </w:r>
          </w:p>
        </w:tc>
      </w:tr>
      <w:tr w:rsidR="0058442B" w:rsidRPr="003D2B87" w14:paraId="5B75E964"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6DC777C6"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Start-up Costs</w:t>
            </w:r>
          </w:p>
        </w:tc>
        <w:tc>
          <w:tcPr>
            <w:tcW w:w="1012" w:type="dxa"/>
            <w:tcBorders>
              <w:top w:val="nil"/>
              <w:left w:val="nil"/>
              <w:bottom w:val="single" w:sz="8" w:space="0" w:color="auto"/>
              <w:right w:val="single" w:sz="8" w:space="0" w:color="auto"/>
            </w:tcBorders>
            <w:shd w:val="clear" w:color="000000" w:fill="AEAAAA"/>
            <w:noWrap/>
            <w:vAlign w:val="center"/>
            <w:hideMark/>
          </w:tcPr>
          <w:p w14:paraId="184ADD65"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c>
          <w:tcPr>
            <w:tcW w:w="1012" w:type="dxa"/>
            <w:tcBorders>
              <w:top w:val="nil"/>
              <w:left w:val="nil"/>
              <w:bottom w:val="single" w:sz="8" w:space="0" w:color="auto"/>
              <w:right w:val="single" w:sz="8" w:space="0" w:color="auto"/>
            </w:tcBorders>
            <w:shd w:val="clear" w:color="auto" w:fill="auto"/>
            <w:noWrap/>
            <w:vAlign w:val="center"/>
            <w:hideMark/>
          </w:tcPr>
          <w:p w14:paraId="0B1C25EA"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0.500</w:t>
            </w:r>
          </w:p>
        </w:tc>
        <w:tc>
          <w:tcPr>
            <w:tcW w:w="1012" w:type="dxa"/>
            <w:tcBorders>
              <w:top w:val="nil"/>
              <w:left w:val="nil"/>
              <w:bottom w:val="single" w:sz="8" w:space="0" w:color="auto"/>
              <w:right w:val="single" w:sz="8" w:space="0" w:color="auto"/>
            </w:tcBorders>
            <w:shd w:val="clear" w:color="auto" w:fill="auto"/>
            <w:noWrap/>
            <w:vAlign w:val="center"/>
            <w:hideMark/>
          </w:tcPr>
          <w:p w14:paraId="51E73AA7"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0.500</w:t>
            </w:r>
          </w:p>
        </w:tc>
        <w:tc>
          <w:tcPr>
            <w:tcW w:w="1012" w:type="dxa"/>
            <w:tcBorders>
              <w:top w:val="nil"/>
              <w:left w:val="nil"/>
              <w:bottom w:val="single" w:sz="8" w:space="0" w:color="auto"/>
              <w:right w:val="single" w:sz="8" w:space="0" w:color="auto"/>
            </w:tcBorders>
            <w:shd w:val="clear" w:color="auto" w:fill="auto"/>
            <w:noWrap/>
            <w:vAlign w:val="center"/>
            <w:hideMark/>
          </w:tcPr>
          <w:p w14:paraId="2EC1FECC"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c>
          <w:tcPr>
            <w:tcW w:w="1012" w:type="dxa"/>
            <w:tcBorders>
              <w:top w:val="nil"/>
              <w:left w:val="nil"/>
              <w:bottom w:val="single" w:sz="8" w:space="0" w:color="auto"/>
              <w:right w:val="single" w:sz="8" w:space="0" w:color="auto"/>
            </w:tcBorders>
            <w:shd w:val="clear" w:color="auto" w:fill="auto"/>
            <w:noWrap/>
            <w:vAlign w:val="center"/>
            <w:hideMark/>
          </w:tcPr>
          <w:p w14:paraId="6358A1B0"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c>
          <w:tcPr>
            <w:tcW w:w="1012" w:type="dxa"/>
            <w:tcBorders>
              <w:top w:val="nil"/>
              <w:left w:val="nil"/>
              <w:bottom w:val="single" w:sz="8" w:space="0" w:color="auto"/>
              <w:right w:val="single" w:sz="8" w:space="0" w:color="auto"/>
            </w:tcBorders>
            <w:shd w:val="clear" w:color="auto" w:fill="auto"/>
            <w:noWrap/>
            <w:vAlign w:val="center"/>
            <w:hideMark/>
          </w:tcPr>
          <w:p w14:paraId="5A3FC503"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r>
      <w:tr w:rsidR="0058442B" w:rsidRPr="003D2B87" w14:paraId="6FAF7E2B"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55879158"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Speech and Language</w:t>
            </w:r>
          </w:p>
        </w:tc>
        <w:tc>
          <w:tcPr>
            <w:tcW w:w="1012" w:type="dxa"/>
            <w:tcBorders>
              <w:top w:val="nil"/>
              <w:left w:val="nil"/>
              <w:bottom w:val="single" w:sz="8" w:space="0" w:color="auto"/>
              <w:right w:val="single" w:sz="8" w:space="0" w:color="auto"/>
            </w:tcBorders>
            <w:shd w:val="clear" w:color="000000" w:fill="AEAAAA"/>
            <w:noWrap/>
            <w:vAlign w:val="center"/>
            <w:hideMark/>
          </w:tcPr>
          <w:p w14:paraId="4CDFCC03"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0.771</w:t>
            </w:r>
          </w:p>
        </w:tc>
        <w:tc>
          <w:tcPr>
            <w:tcW w:w="1012" w:type="dxa"/>
            <w:tcBorders>
              <w:top w:val="nil"/>
              <w:left w:val="nil"/>
              <w:bottom w:val="single" w:sz="8" w:space="0" w:color="auto"/>
              <w:right w:val="single" w:sz="8" w:space="0" w:color="auto"/>
            </w:tcBorders>
            <w:shd w:val="clear" w:color="auto" w:fill="auto"/>
            <w:noWrap/>
            <w:vAlign w:val="center"/>
            <w:hideMark/>
          </w:tcPr>
          <w:p w14:paraId="40A27046"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1.004</w:t>
            </w:r>
          </w:p>
        </w:tc>
        <w:tc>
          <w:tcPr>
            <w:tcW w:w="1012" w:type="dxa"/>
            <w:tcBorders>
              <w:top w:val="nil"/>
              <w:left w:val="nil"/>
              <w:bottom w:val="single" w:sz="8" w:space="0" w:color="auto"/>
              <w:right w:val="single" w:sz="8" w:space="0" w:color="auto"/>
            </w:tcBorders>
            <w:shd w:val="clear" w:color="auto" w:fill="auto"/>
            <w:noWrap/>
            <w:vAlign w:val="center"/>
            <w:hideMark/>
          </w:tcPr>
          <w:p w14:paraId="32B9F776"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1.004</w:t>
            </w:r>
          </w:p>
        </w:tc>
        <w:tc>
          <w:tcPr>
            <w:tcW w:w="1012" w:type="dxa"/>
            <w:tcBorders>
              <w:top w:val="nil"/>
              <w:left w:val="nil"/>
              <w:bottom w:val="single" w:sz="8" w:space="0" w:color="auto"/>
              <w:right w:val="single" w:sz="8" w:space="0" w:color="auto"/>
            </w:tcBorders>
            <w:shd w:val="clear" w:color="auto" w:fill="auto"/>
            <w:noWrap/>
            <w:vAlign w:val="center"/>
            <w:hideMark/>
          </w:tcPr>
          <w:p w14:paraId="23572F07"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1.004</w:t>
            </w:r>
          </w:p>
        </w:tc>
        <w:tc>
          <w:tcPr>
            <w:tcW w:w="1012" w:type="dxa"/>
            <w:tcBorders>
              <w:top w:val="nil"/>
              <w:left w:val="nil"/>
              <w:bottom w:val="single" w:sz="8" w:space="0" w:color="auto"/>
              <w:right w:val="single" w:sz="8" w:space="0" w:color="auto"/>
            </w:tcBorders>
            <w:shd w:val="clear" w:color="auto" w:fill="auto"/>
            <w:noWrap/>
            <w:vAlign w:val="center"/>
            <w:hideMark/>
          </w:tcPr>
          <w:p w14:paraId="62B3EC1E"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1.004</w:t>
            </w:r>
          </w:p>
        </w:tc>
        <w:tc>
          <w:tcPr>
            <w:tcW w:w="1012" w:type="dxa"/>
            <w:tcBorders>
              <w:top w:val="nil"/>
              <w:left w:val="nil"/>
              <w:bottom w:val="single" w:sz="8" w:space="0" w:color="auto"/>
              <w:right w:val="single" w:sz="8" w:space="0" w:color="auto"/>
            </w:tcBorders>
            <w:shd w:val="clear" w:color="auto" w:fill="auto"/>
            <w:noWrap/>
            <w:vAlign w:val="center"/>
            <w:hideMark/>
          </w:tcPr>
          <w:p w14:paraId="2B762D2A"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1.004</w:t>
            </w:r>
          </w:p>
        </w:tc>
      </w:tr>
      <w:tr w:rsidR="0058442B" w:rsidRPr="003D2B87" w14:paraId="2EF3AFF9"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3A8836A0"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Sensory Support</w:t>
            </w:r>
          </w:p>
        </w:tc>
        <w:tc>
          <w:tcPr>
            <w:tcW w:w="1012" w:type="dxa"/>
            <w:tcBorders>
              <w:top w:val="nil"/>
              <w:left w:val="nil"/>
              <w:bottom w:val="single" w:sz="8" w:space="0" w:color="auto"/>
              <w:right w:val="single" w:sz="8" w:space="0" w:color="auto"/>
            </w:tcBorders>
            <w:shd w:val="clear" w:color="000000" w:fill="AEAAAA"/>
            <w:noWrap/>
            <w:vAlign w:val="center"/>
            <w:hideMark/>
          </w:tcPr>
          <w:p w14:paraId="16A46D79"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1.624</w:t>
            </w:r>
          </w:p>
        </w:tc>
        <w:tc>
          <w:tcPr>
            <w:tcW w:w="1012" w:type="dxa"/>
            <w:tcBorders>
              <w:top w:val="nil"/>
              <w:left w:val="nil"/>
              <w:bottom w:val="single" w:sz="8" w:space="0" w:color="auto"/>
              <w:right w:val="single" w:sz="8" w:space="0" w:color="auto"/>
            </w:tcBorders>
            <w:shd w:val="clear" w:color="auto" w:fill="auto"/>
            <w:noWrap/>
            <w:vAlign w:val="center"/>
            <w:hideMark/>
          </w:tcPr>
          <w:p w14:paraId="3D086A2A"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1.624</w:t>
            </w:r>
          </w:p>
        </w:tc>
        <w:tc>
          <w:tcPr>
            <w:tcW w:w="1012" w:type="dxa"/>
            <w:tcBorders>
              <w:top w:val="nil"/>
              <w:left w:val="nil"/>
              <w:bottom w:val="single" w:sz="8" w:space="0" w:color="auto"/>
              <w:right w:val="single" w:sz="8" w:space="0" w:color="auto"/>
            </w:tcBorders>
            <w:shd w:val="clear" w:color="auto" w:fill="auto"/>
            <w:noWrap/>
            <w:vAlign w:val="center"/>
            <w:hideMark/>
          </w:tcPr>
          <w:p w14:paraId="06DD915F"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1.624</w:t>
            </w:r>
          </w:p>
        </w:tc>
        <w:tc>
          <w:tcPr>
            <w:tcW w:w="1012" w:type="dxa"/>
            <w:tcBorders>
              <w:top w:val="nil"/>
              <w:left w:val="nil"/>
              <w:bottom w:val="single" w:sz="8" w:space="0" w:color="auto"/>
              <w:right w:val="single" w:sz="8" w:space="0" w:color="auto"/>
            </w:tcBorders>
            <w:shd w:val="clear" w:color="auto" w:fill="auto"/>
            <w:noWrap/>
            <w:vAlign w:val="center"/>
            <w:hideMark/>
          </w:tcPr>
          <w:p w14:paraId="7D1EA141"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1.624</w:t>
            </w:r>
          </w:p>
        </w:tc>
        <w:tc>
          <w:tcPr>
            <w:tcW w:w="1012" w:type="dxa"/>
            <w:tcBorders>
              <w:top w:val="nil"/>
              <w:left w:val="nil"/>
              <w:bottom w:val="single" w:sz="8" w:space="0" w:color="auto"/>
              <w:right w:val="single" w:sz="8" w:space="0" w:color="auto"/>
            </w:tcBorders>
            <w:shd w:val="clear" w:color="auto" w:fill="auto"/>
            <w:noWrap/>
            <w:vAlign w:val="center"/>
            <w:hideMark/>
          </w:tcPr>
          <w:p w14:paraId="1B1D4037"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1.624</w:t>
            </w:r>
          </w:p>
        </w:tc>
        <w:tc>
          <w:tcPr>
            <w:tcW w:w="1012" w:type="dxa"/>
            <w:tcBorders>
              <w:top w:val="nil"/>
              <w:left w:val="nil"/>
              <w:bottom w:val="single" w:sz="8" w:space="0" w:color="auto"/>
              <w:right w:val="single" w:sz="8" w:space="0" w:color="auto"/>
            </w:tcBorders>
            <w:shd w:val="clear" w:color="auto" w:fill="auto"/>
            <w:noWrap/>
            <w:vAlign w:val="center"/>
            <w:hideMark/>
          </w:tcPr>
          <w:p w14:paraId="4C352C5C"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1.624</w:t>
            </w:r>
          </w:p>
        </w:tc>
      </w:tr>
      <w:tr w:rsidR="0058442B" w:rsidRPr="003D2B87" w14:paraId="37D9A27A"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55B2A22C"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YOT</w:t>
            </w:r>
          </w:p>
        </w:tc>
        <w:tc>
          <w:tcPr>
            <w:tcW w:w="1012" w:type="dxa"/>
            <w:tcBorders>
              <w:top w:val="nil"/>
              <w:left w:val="nil"/>
              <w:bottom w:val="single" w:sz="8" w:space="0" w:color="auto"/>
              <w:right w:val="single" w:sz="8" w:space="0" w:color="auto"/>
            </w:tcBorders>
            <w:shd w:val="clear" w:color="000000" w:fill="AEAAAA"/>
            <w:noWrap/>
            <w:vAlign w:val="center"/>
            <w:hideMark/>
          </w:tcPr>
          <w:p w14:paraId="41044D19"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0.290</w:t>
            </w:r>
          </w:p>
        </w:tc>
        <w:tc>
          <w:tcPr>
            <w:tcW w:w="1012" w:type="dxa"/>
            <w:tcBorders>
              <w:top w:val="nil"/>
              <w:left w:val="nil"/>
              <w:bottom w:val="single" w:sz="8" w:space="0" w:color="auto"/>
              <w:right w:val="single" w:sz="8" w:space="0" w:color="auto"/>
            </w:tcBorders>
            <w:shd w:val="clear" w:color="auto" w:fill="auto"/>
            <w:noWrap/>
            <w:vAlign w:val="center"/>
            <w:hideMark/>
          </w:tcPr>
          <w:p w14:paraId="5D0E8D20"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0.290</w:t>
            </w:r>
          </w:p>
        </w:tc>
        <w:tc>
          <w:tcPr>
            <w:tcW w:w="1012" w:type="dxa"/>
            <w:tcBorders>
              <w:top w:val="nil"/>
              <w:left w:val="nil"/>
              <w:bottom w:val="single" w:sz="8" w:space="0" w:color="auto"/>
              <w:right w:val="single" w:sz="8" w:space="0" w:color="auto"/>
            </w:tcBorders>
            <w:shd w:val="clear" w:color="auto" w:fill="auto"/>
            <w:noWrap/>
            <w:vAlign w:val="center"/>
            <w:hideMark/>
          </w:tcPr>
          <w:p w14:paraId="1248E4B0"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0.290</w:t>
            </w:r>
          </w:p>
        </w:tc>
        <w:tc>
          <w:tcPr>
            <w:tcW w:w="1012" w:type="dxa"/>
            <w:tcBorders>
              <w:top w:val="nil"/>
              <w:left w:val="nil"/>
              <w:bottom w:val="single" w:sz="8" w:space="0" w:color="auto"/>
              <w:right w:val="single" w:sz="8" w:space="0" w:color="auto"/>
            </w:tcBorders>
            <w:shd w:val="clear" w:color="auto" w:fill="auto"/>
            <w:noWrap/>
            <w:vAlign w:val="center"/>
            <w:hideMark/>
          </w:tcPr>
          <w:p w14:paraId="1179E22C"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0.290</w:t>
            </w:r>
          </w:p>
        </w:tc>
        <w:tc>
          <w:tcPr>
            <w:tcW w:w="1012" w:type="dxa"/>
            <w:tcBorders>
              <w:top w:val="nil"/>
              <w:left w:val="nil"/>
              <w:bottom w:val="single" w:sz="8" w:space="0" w:color="auto"/>
              <w:right w:val="single" w:sz="8" w:space="0" w:color="auto"/>
            </w:tcBorders>
            <w:shd w:val="clear" w:color="auto" w:fill="auto"/>
            <w:noWrap/>
            <w:vAlign w:val="center"/>
            <w:hideMark/>
          </w:tcPr>
          <w:p w14:paraId="0BE6683C"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0.290</w:t>
            </w:r>
          </w:p>
        </w:tc>
        <w:tc>
          <w:tcPr>
            <w:tcW w:w="1012" w:type="dxa"/>
            <w:tcBorders>
              <w:top w:val="nil"/>
              <w:left w:val="nil"/>
              <w:bottom w:val="single" w:sz="8" w:space="0" w:color="auto"/>
              <w:right w:val="single" w:sz="8" w:space="0" w:color="auto"/>
            </w:tcBorders>
            <w:shd w:val="clear" w:color="auto" w:fill="auto"/>
            <w:noWrap/>
            <w:vAlign w:val="center"/>
            <w:hideMark/>
          </w:tcPr>
          <w:p w14:paraId="21398CC2"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0.290</w:t>
            </w:r>
          </w:p>
        </w:tc>
      </w:tr>
      <w:tr w:rsidR="0058442B" w:rsidRPr="003D2B87" w14:paraId="3CDAEF09"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333AFE69"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CAMHS</w:t>
            </w:r>
          </w:p>
        </w:tc>
        <w:tc>
          <w:tcPr>
            <w:tcW w:w="1012" w:type="dxa"/>
            <w:tcBorders>
              <w:top w:val="nil"/>
              <w:left w:val="nil"/>
              <w:bottom w:val="single" w:sz="8" w:space="0" w:color="auto"/>
              <w:right w:val="single" w:sz="8" w:space="0" w:color="auto"/>
            </w:tcBorders>
            <w:shd w:val="clear" w:color="000000" w:fill="AEAAAA"/>
            <w:noWrap/>
            <w:vAlign w:val="center"/>
            <w:hideMark/>
          </w:tcPr>
          <w:p w14:paraId="793EBEAF"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0.251</w:t>
            </w:r>
          </w:p>
        </w:tc>
        <w:tc>
          <w:tcPr>
            <w:tcW w:w="1012" w:type="dxa"/>
            <w:tcBorders>
              <w:top w:val="nil"/>
              <w:left w:val="nil"/>
              <w:bottom w:val="single" w:sz="8" w:space="0" w:color="auto"/>
              <w:right w:val="single" w:sz="8" w:space="0" w:color="auto"/>
            </w:tcBorders>
            <w:shd w:val="clear" w:color="auto" w:fill="auto"/>
            <w:noWrap/>
            <w:vAlign w:val="center"/>
            <w:hideMark/>
          </w:tcPr>
          <w:p w14:paraId="772636C8"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0.251</w:t>
            </w:r>
          </w:p>
        </w:tc>
        <w:tc>
          <w:tcPr>
            <w:tcW w:w="1012" w:type="dxa"/>
            <w:tcBorders>
              <w:top w:val="nil"/>
              <w:left w:val="nil"/>
              <w:bottom w:val="single" w:sz="8" w:space="0" w:color="auto"/>
              <w:right w:val="single" w:sz="8" w:space="0" w:color="auto"/>
            </w:tcBorders>
            <w:shd w:val="clear" w:color="auto" w:fill="auto"/>
            <w:noWrap/>
            <w:vAlign w:val="center"/>
            <w:hideMark/>
          </w:tcPr>
          <w:p w14:paraId="10109690"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0.251</w:t>
            </w:r>
          </w:p>
        </w:tc>
        <w:tc>
          <w:tcPr>
            <w:tcW w:w="1012" w:type="dxa"/>
            <w:tcBorders>
              <w:top w:val="nil"/>
              <w:left w:val="nil"/>
              <w:bottom w:val="single" w:sz="8" w:space="0" w:color="auto"/>
              <w:right w:val="single" w:sz="8" w:space="0" w:color="auto"/>
            </w:tcBorders>
            <w:shd w:val="clear" w:color="auto" w:fill="auto"/>
            <w:noWrap/>
            <w:vAlign w:val="center"/>
            <w:hideMark/>
          </w:tcPr>
          <w:p w14:paraId="676CC82F"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0.251</w:t>
            </w:r>
          </w:p>
        </w:tc>
        <w:tc>
          <w:tcPr>
            <w:tcW w:w="1012" w:type="dxa"/>
            <w:tcBorders>
              <w:top w:val="nil"/>
              <w:left w:val="nil"/>
              <w:bottom w:val="single" w:sz="8" w:space="0" w:color="auto"/>
              <w:right w:val="single" w:sz="8" w:space="0" w:color="auto"/>
            </w:tcBorders>
            <w:shd w:val="clear" w:color="auto" w:fill="auto"/>
            <w:noWrap/>
            <w:vAlign w:val="center"/>
            <w:hideMark/>
          </w:tcPr>
          <w:p w14:paraId="5348A3EA"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0.251</w:t>
            </w:r>
          </w:p>
        </w:tc>
        <w:tc>
          <w:tcPr>
            <w:tcW w:w="1012" w:type="dxa"/>
            <w:tcBorders>
              <w:top w:val="nil"/>
              <w:left w:val="nil"/>
              <w:bottom w:val="single" w:sz="8" w:space="0" w:color="auto"/>
              <w:right w:val="single" w:sz="8" w:space="0" w:color="auto"/>
            </w:tcBorders>
            <w:shd w:val="clear" w:color="auto" w:fill="auto"/>
            <w:noWrap/>
            <w:vAlign w:val="center"/>
            <w:hideMark/>
          </w:tcPr>
          <w:p w14:paraId="24C536FB"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0.251</w:t>
            </w:r>
          </w:p>
        </w:tc>
      </w:tr>
      <w:tr w:rsidR="0058442B" w:rsidRPr="003D2B87" w14:paraId="56AAF1B3"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3610FA6C"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LA Posts</w:t>
            </w:r>
          </w:p>
        </w:tc>
        <w:tc>
          <w:tcPr>
            <w:tcW w:w="1012" w:type="dxa"/>
            <w:tcBorders>
              <w:top w:val="nil"/>
              <w:left w:val="nil"/>
              <w:bottom w:val="single" w:sz="8" w:space="0" w:color="auto"/>
              <w:right w:val="single" w:sz="8" w:space="0" w:color="auto"/>
            </w:tcBorders>
            <w:shd w:val="clear" w:color="000000" w:fill="AEAAAA"/>
            <w:noWrap/>
            <w:vAlign w:val="center"/>
            <w:hideMark/>
          </w:tcPr>
          <w:p w14:paraId="4463C605"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0.774</w:t>
            </w:r>
          </w:p>
        </w:tc>
        <w:tc>
          <w:tcPr>
            <w:tcW w:w="1012" w:type="dxa"/>
            <w:tcBorders>
              <w:top w:val="nil"/>
              <w:left w:val="nil"/>
              <w:bottom w:val="single" w:sz="8" w:space="0" w:color="auto"/>
              <w:right w:val="single" w:sz="8" w:space="0" w:color="auto"/>
            </w:tcBorders>
            <w:shd w:val="clear" w:color="auto" w:fill="auto"/>
            <w:noWrap/>
            <w:vAlign w:val="center"/>
            <w:hideMark/>
          </w:tcPr>
          <w:p w14:paraId="42B07DEA"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0.774</w:t>
            </w:r>
          </w:p>
        </w:tc>
        <w:tc>
          <w:tcPr>
            <w:tcW w:w="1012" w:type="dxa"/>
            <w:tcBorders>
              <w:top w:val="nil"/>
              <w:left w:val="nil"/>
              <w:bottom w:val="single" w:sz="8" w:space="0" w:color="auto"/>
              <w:right w:val="single" w:sz="8" w:space="0" w:color="auto"/>
            </w:tcBorders>
            <w:shd w:val="clear" w:color="auto" w:fill="auto"/>
            <w:noWrap/>
            <w:vAlign w:val="center"/>
            <w:hideMark/>
          </w:tcPr>
          <w:p w14:paraId="07DB5A85"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0.774</w:t>
            </w:r>
          </w:p>
        </w:tc>
        <w:tc>
          <w:tcPr>
            <w:tcW w:w="1012" w:type="dxa"/>
            <w:tcBorders>
              <w:top w:val="nil"/>
              <w:left w:val="nil"/>
              <w:bottom w:val="single" w:sz="8" w:space="0" w:color="auto"/>
              <w:right w:val="single" w:sz="8" w:space="0" w:color="auto"/>
            </w:tcBorders>
            <w:shd w:val="clear" w:color="auto" w:fill="auto"/>
            <w:noWrap/>
            <w:vAlign w:val="center"/>
            <w:hideMark/>
          </w:tcPr>
          <w:p w14:paraId="052C51FF"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0.774</w:t>
            </w:r>
          </w:p>
        </w:tc>
        <w:tc>
          <w:tcPr>
            <w:tcW w:w="1012" w:type="dxa"/>
            <w:tcBorders>
              <w:top w:val="nil"/>
              <w:left w:val="nil"/>
              <w:bottom w:val="single" w:sz="8" w:space="0" w:color="auto"/>
              <w:right w:val="single" w:sz="8" w:space="0" w:color="auto"/>
            </w:tcBorders>
            <w:shd w:val="clear" w:color="auto" w:fill="auto"/>
            <w:noWrap/>
            <w:vAlign w:val="center"/>
            <w:hideMark/>
          </w:tcPr>
          <w:p w14:paraId="10526786"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0.774</w:t>
            </w:r>
          </w:p>
        </w:tc>
        <w:tc>
          <w:tcPr>
            <w:tcW w:w="1012" w:type="dxa"/>
            <w:tcBorders>
              <w:top w:val="nil"/>
              <w:left w:val="nil"/>
              <w:bottom w:val="single" w:sz="8" w:space="0" w:color="auto"/>
              <w:right w:val="single" w:sz="8" w:space="0" w:color="auto"/>
            </w:tcBorders>
            <w:shd w:val="clear" w:color="auto" w:fill="auto"/>
            <w:noWrap/>
            <w:vAlign w:val="center"/>
            <w:hideMark/>
          </w:tcPr>
          <w:p w14:paraId="445A48E2"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0.774</w:t>
            </w:r>
          </w:p>
        </w:tc>
      </w:tr>
      <w:tr w:rsidR="0058442B" w:rsidRPr="003D2B87" w14:paraId="4BA3D74B"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77073392"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Fines Income *</w:t>
            </w:r>
          </w:p>
        </w:tc>
        <w:tc>
          <w:tcPr>
            <w:tcW w:w="1012" w:type="dxa"/>
            <w:tcBorders>
              <w:top w:val="nil"/>
              <w:left w:val="nil"/>
              <w:bottom w:val="single" w:sz="8" w:space="0" w:color="auto"/>
              <w:right w:val="single" w:sz="8" w:space="0" w:color="auto"/>
            </w:tcBorders>
            <w:shd w:val="clear" w:color="000000" w:fill="AEAAAA"/>
            <w:noWrap/>
            <w:vAlign w:val="center"/>
            <w:hideMark/>
          </w:tcPr>
          <w:p w14:paraId="6A52562E"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-0.999</w:t>
            </w:r>
          </w:p>
        </w:tc>
        <w:tc>
          <w:tcPr>
            <w:tcW w:w="1012" w:type="dxa"/>
            <w:tcBorders>
              <w:top w:val="nil"/>
              <w:left w:val="nil"/>
              <w:bottom w:val="single" w:sz="8" w:space="0" w:color="auto"/>
              <w:right w:val="single" w:sz="8" w:space="0" w:color="auto"/>
            </w:tcBorders>
            <w:shd w:val="clear" w:color="auto" w:fill="auto"/>
            <w:noWrap/>
            <w:vAlign w:val="center"/>
            <w:hideMark/>
          </w:tcPr>
          <w:p w14:paraId="73C12383"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-0.900</w:t>
            </w:r>
          </w:p>
        </w:tc>
        <w:tc>
          <w:tcPr>
            <w:tcW w:w="1012" w:type="dxa"/>
            <w:tcBorders>
              <w:top w:val="nil"/>
              <w:left w:val="nil"/>
              <w:bottom w:val="single" w:sz="8" w:space="0" w:color="auto"/>
              <w:right w:val="single" w:sz="8" w:space="0" w:color="auto"/>
            </w:tcBorders>
            <w:shd w:val="clear" w:color="auto" w:fill="auto"/>
            <w:noWrap/>
            <w:vAlign w:val="center"/>
            <w:hideMark/>
          </w:tcPr>
          <w:p w14:paraId="537C3BA5"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-0.900</w:t>
            </w:r>
          </w:p>
        </w:tc>
        <w:tc>
          <w:tcPr>
            <w:tcW w:w="1012" w:type="dxa"/>
            <w:tcBorders>
              <w:top w:val="nil"/>
              <w:left w:val="nil"/>
              <w:bottom w:val="single" w:sz="8" w:space="0" w:color="auto"/>
              <w:right w:val="single" w:sz="8" w:space="0" w:color="auto"/>
            </w:tcBorders>
            <w:shd w:val="clear" w:color="auto" w:fill="auto"/>
            <w:noWrap/>
            <w:vAlign w:val="center"/>
            <w:hideMark/>
          </w:tcPr>
          <w:p w14:paraId="600907E0"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-0.900</w:t>
            </w:r>
          </w:p>
        </w:tc>
        <w:tc>
          <w:tcPr>
            <w:tcW w:w="1012" w:type="dxa"/>
            <w:tcBorders>
              <w:top w:val="nil"/>
              <w:left w:val="nil"/>
              <w:bottom w:val="single" w:sz="8" w:space="0" w:color="auto"/>
              <w:right w:val="single" w:sz="8" w:space="0" w:color="auto"/>
            </w:tcBorders>
            <w:shd w:val="clear" w:color="auto" w:fill="auto"/>
            <w:noWrap/>
            <w:vAlign w:val="center"/>
            <w:hideMark/>
          </w:tcPr>
          <w:p w14:paraId="557FFB88"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-0.900</w:t>
            </w:r>
          </w:p>
        </w:tc>
        <w:tc>
          <w:tcPr>
            <w:tcW w:w="1012" w:type="dxa"/>
            <w:tcBorders>
              <w:top w:val="nil"/>
              <w:left w:val="nil"/>
              <w:bottom w:val="single" w:sz="8" w:space="0" w:color="auto"/>
              <w:right w:val="single" w:sz="8" w:space="0" w:color="auto"/>
            </w:tcBorders>
            <w:shd w:val="clear" w:color="auto" w:fill="auto"/>
            <w:noWrap/>
            <w:vAlign w:val="center"/>
            <w:hideMark/>
          </w:tcPr>
          <w:p w14:paraId="29E18479"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-0.900</w:t>
            </w:r>
          </w:p>
        </w:tc>
      </w:tr>
      <w:tr w:rsidR="0058442B" w:rsidRPr="003D2B87" w14:paraId="45BB2BD5"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67874112"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Other services</w:t>
            </w:r>
          </w:p>
        </w:tc>
        <w:tc>
          <w:tcPr>
            <w:tcW w:w="1012" w:type="dxa"/>
            <w:tcBorders>
              <w:top w:val="nil"/>
              <w:left w:val="nil"/>
              <w:bottom w:val="single" w:sz="8" w:space="0" w:color="auto"/>
              <w:right w:val="single" w:sz="8" w:space="0" w:color="auto"/>
            </w:tcBorders>
            <w:shd w:val="clear" w:color="000000" w:fill="AEAAAA"/>
            <w:noWrap/>
            <w:vAlign w:val="center"/>
            <w:hideMark/>
          </w:tcPr>
          <w:p w14:paraId="4AD82DCC"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0.447</w:t>
            </w:r>
          </w:p>
        </w:tc>
        <w:tc>
          <w:tcPr>
            <w:tcW w:w="1012" w:type="dxa"/>
            <w:tcBorders>
              <w:top w:val="nil"/>
              <w:left w:val="nil"/>
              <w:bottom w:val="single" w:sz="8" w:space="0" w:color="auto"/>
              <w:right w:val="single" w:sz="8" w:space="0" w:color="auto"/>
            </w:tcBorders>
            <w:shd w:val="clear" w:color="auto" w:fill="auto"/>
            <w:noWrap/>
            <w:vAlign w:val="center"/>
            <w:hideMark/>
          </w:tcPr>
          <w:p w14:paraId="6261D847"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0.447</w:t>
            </w:r>
          </w:p>
        </w:tc>
        <w:tc>
          <w:tcPr>
            <w:tcW w:w="1012" w:type="dxa"/>
            <w:tcBorders>
              <w:top w:val="nil"/>
              <w:left w:val="nil"/>
              <w:bottom w:val="single" w:sz="8" w:space="0" w:color="auto"/>
              <w:right w:val="single" w:sz="8" w:space="0" w:color="auto"/>
            </w:tcBorders>
            <w:shd w:val="clear" w:color="auto" w:fill="auto"/>
            <w:noWrap/>
            <w:vAlign w:val="center"/>
            <w:hideMark/>
          </w:tcPr>
          <w:p w14:paraId="5EB30E95"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0.447</w:t>
            </w:r>
          </w:p>
        </w:tc>
        <w:tc>
          <w:tcPr>
            <w:tcW w:w="1012" w:type="dxa"/>
            <w:tcBorders>
              <w:top w:val="nil"/>
              <w:left w:val="nil"/>
              <w:bottom w:val="single" w:sz="8" w:space="0" w:color="auto"/>
              <w:right w:val="single" w:sz="8" w:space="0" w:color="auto"/>
            </w:tcBorders>
            <w:shd w:val="clear" w:color="auto" w:fill="auto"/>
            <w:noWrap/>
            <w:vAlign w:val="center"/>
            <w:hideMark/>
          </w:tcPr>
          <w:p w14:paraId="16434E76"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0.447</w:t>
            </w:r>
          </w:p>
        </w:tc>
        <w:tc>
          <w:tcPr>
            <w:tcW w:w="1012" w:type="dxa"/>
            <w:tcBorders>
              <w:top w:val="nil"/>
              <w:left w:val="nil"/>
              <w:bottom w:val="single" w:sz="8" w:space="0" w:color="auto"/>
              <w:right w:val="single" w:sz="8" w:space="0" w:color="auto"/>
            </w:tcBorders>
            <w:shd w:val="clear" w:color="auto" w:fill="auto"/>
            <w:noWrap/>
            <w:vAlign w:val="center"/>
            <w:hideMark/>
          </w:tcPr>
          <w:p w14:paraId="2F25C0A9"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0.447</w:t>
            </w:r>
          </w:p>
        </w:tc>
        <w:tc>
          <w:tcPr>
            <w:tcW w:w="1012" w:type="dxa"/>
            <w:tcBorders>
              <w:top w:val="nil"/>
              <w:left w:val="nil"/>
              <w:bottom w:val="single" w:sz="8" w:space="0" w:color="auto"/>
              <w:right w:val="single" w:sz="8" w:space="0" w:color="auto"/>
            </w:tcBorders>
            <w:shd w:val="clear" w:color="auto" w:fill="auto"/>
            <w:noWrap/>
            <w:vAlign w:val="center"/>
            <w:hideMark/>
          </w:tcPr>
          <w:p w14:paraId="565CEB49"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0.447</w:t>
            </w:r>
          </w:p>
        </w:tc>
      </w:tr>
      <w:tr w:rsidR="0058442B" w:rsidRPr="003D2B87" w14:paraId="5C9B069C"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388D5BD4"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Repay overdrawn position</w:t>
            </w:r>
          </w:p>
        </w:tc>
        <w:tc>
          <w:tcPr>
            <w:tcW w:w="1012" w:type="dxa"/>
            <w:tcBorders>
              <w:top w:val="nil"/>
              <w:left w:val="nil"/>
              <w:bottom w:val="single" w:sz="8" w:space="0" w:color="auto"/>
              <w:right w:val="single" w:sz="8" w:space="0" w:color="auto"/>
            </w:tcBorders>
            <w:shd w:val="clear" w:color="000000" w:fill="AEAAAA"/>
            <w:noWrap/>
            <w:vAlign w:val="center"/>
            <w:hideMark/>
          </w:tcPr>
          <w:p w14:paraId="22089881"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3ECF4117"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3000D9FC"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1.825</w:t>
            </w:r>
          </w:p>
        </w:tc>
        <w:tc>
          <w:tcPr>
            <w:tcW w:w="1012" w:type="dxa"/>
            <w:tcBorders>
              <w:top w:val="nil"/>
              <w:left w:val="nil"/>
              <w:bottom w:val="single" w:sz="8" w:space="0" w:color="auto"/>
              <w:right w:val="single" w:sz="8" w:space="0" w:color="auto"/>
            </w:tcBorders>
            <w:shd w:val="clear" w:color="auto" w:fill="auto"/>
            <w:noWrap/>
            <w:vAlign w:val="center"/>
            <w:hideMark/>
          </w:tcPr>
          <w:p w14:paraId="2BB76F17"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7.604</w:t>
            </w:r>
          </w:p>
        </w:tc>
        <w:tc>
          <w:tcPr>
            <w:tcW w:w="1012" w:type="dxa"/>
            <w:tcBorders>
              <w:top w:val="nil"/>
              <w:left w:val="nil"/>
              <w:bottom w:val="single" w:sz="8" w:space="0" w:color="auto"/>
              <w:right w:val="single" w:sz="8" w:space="0" w:color="auto"/>
            </w:tcBorders>
            <w:shd w:val="clear" w:color="auto" w:fill="auto"/>
            <w:noWrap/>
            <w:vAlign w:val="center"/>
            <w:hideMark/>
          </w:tcPr>
          <w:p w14:paraId="372D9754"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9.826</w:t>
            </w:r>
          </w:p>
        </w:tc>
        <w:tc>
          <w:tcPr>
            <w:tcW w:w="1012" w:type="dxa"/>
            <w:tcBorders>
              <w:top w:val="nil"/>
              <w:left w:val="nil"/>
              <w:bottom w:val="single" w:sz="8" w:space="0" w:color="auto"/>
              <w:right w:val="single" w:sz="8" w:space="0" w:color="auto"/>
            </w:tcBorders>
            <w:shd w:val="clear" w:color="auto" w:fill="auto"/>
            <w:noWrap/>
            <w:vAlign w:val="center"/>
            <w:hideMark/>
          </w:tcPr>
          <w:p w14:paraId="6B13406A"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0.000</w:t>
            </w:r>
          </w:p>
        </w:tc>
      </w:tr>
      <w:tr w:rsidR="0058442B" w:rsidRPr="003D2B87" w14:paraId="02B76239" w14:textId="77777777" w:rsidTr="00786A5F">
        <w:trPr>
          <w:trHeight w:val="390"/>
        </w:trPr>
        <w:tc>
          <w:tcPr>
            <w:tcW w:w="4000" w:type="dxa"/>
            <w:tcBorders>
              <w:top w:val="nil"/>
              <w:left w:val="single" w:sz="8" w:space="0" w:color="auto"/>
              <w:bottom w:val="nil"/>
              <w:right w:val="single" w:sz="8" w:space="0" w:color="auto"/>
            </w:tcBorders>
            <w:shd w:val="clear" w:color="000000" w:fill="262626"/>
            <w:noWrap/>
            <w:vAlign w:val="center"/>
            <w:hideMark/>
          </w:tcPr>
          <w:p w14:paraId="42598249" w14:textId="77777777" w:rsidR="0058442B" w:rsidRPr="003D2B87" w:rsidRDefault="0058442B" w:rsidP="0058442B">
            <w:pPr>
              <w:spacing w:after="0" w:line="240" w:lineRule="auto"/>
              <w:rPr>
                <w:rFonts w:ascii="Arial" w:eastAsia="Times New Roman" w:hAnsi="Arial" w:cs="Arial"/>
                <w:b/>
                <w:bCs/>
                <w:color w:val="FFFFFF"/>
                <w:lang w:eastAsia="en-GB"/>
              </w:rPr>
            </w:pPr>
            <w:r w:rsidRPr="003D2B87">
              <w:rPr>
                <w:rFonts w:ascii="Arial" w:eastAsia="Times New Roman" w:hAnsi="Arial" w:cs="Arial"/>
                <w:b/>
                <w:bCs/>
                <w:color w:val="FFFFFF"/>
                <w:lang w:eastAsia="en-GB"/>
              </w:rPr>
              <w:t>Total expenditure</w:t>
            </w:r>
          </w:p>
        </w:tc>
        <w:tc>
          <w:tcPr>
            <w:tcW w:w="1012" w:type="dxa"/>
            <w:tcBorders>
              <w:top w:val="nil"/>
              <w:left w:val="nil"/>
              <w:bottom w:val="nil"/>
              <w:right w:val="single" w:sz="8" w:space="0" w:color="auto"/>
            </w:tcBorders>
            <w:shd w:val="clear" w:color="000000" w:fill="262626"/>
            <w:noWrap/>
            <w:vAlign w:val="center"/>
            <w:hideMark/>
          </w:tcPr>
          <w:p w14:paraId="7EE80EC5"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89.722</w:t>
            </w:r>
          </w:p>
        </w:tc>
        <w:tc>
          <w:tcPr>
            <w:tcW w:w="1012" w:type="dxa"/>
            <w:tcBorders>
              <w:top w:val="nil"/>
              <w:left w:val="nil"/>
              <w:bottom w:val="nil"/>
              <w:right w:val="single" w:sz="8" w:space="0" w:color="auto"/>
            </w:tcBorders>
            <w:shd w:val="clear" w:color="000000" w:fill="262626"/>
            <w:noWrap/>
            <w:vAlign w:val="center"/>
            <w:hideMark/>
          </w:tcPr>
          <w:p w14:paraId="278B9D1F"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96.328</w:t>
            </w:r>
          </w:p>
        </w:tc>
        <w:tc>
          <w:tcPr>
            <w:tcW w:w="1012" w:type="dxa"/>
            <w:tcBorders>
              <w:top w:val="nil"/>
              <w:left w:val="nil"/>
              <w:bottom w:val="nil"/>
              <w:right w:val="single" w:sz="8" w:space="0" w:color="auto"/>
            </w:tcBorders>
            <w:shd w:val="clear" w:color="000000" w:fill="262626"/>
            <w:noWrap/>
            <w:vAlign w:val="center"/>
            <w:hideMark/>
          </w:tcPr>
          <w:p w14:paraId="321763FD"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97.069</w:t>
            </w:r>
          </w:p>
        </w:tc>
        <w:tc>
          <w:tcPr>
            <w:tcW w:w="1012" w:type="dxa"/>
            <w:tcBorders>
              <w:top w:val="nil"/>
              <w:left w:val="nil"/>
              <w:bottom w:val="nil"/>
              <w:right w:val="single" w:sz="8" w:space="0" w:color="auto"/>
            </w:tcBorders>
            <w:shd w:val="clear" w:color="000000" w:fill="262626"/>
            <w:noWrap/>
            <w:vAlign w:val="center"/>
            <w:hideMark/>
          </w:tcPr>
          <w:p w14:paraId="46639D74"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97.918</w:t>
            </w:r>
          </w:p>
        </w:tc>
        <w:tc>
          <w:tcPr>
            <w:tcW w:w="1012" w:type="dxa"/>
            <w:tcBorders>
              <w:top w:val="nil"/>
              <w:left w:val="nil"/>
              <w:bottom w:val="nil"/>
              <w:right w:val="single" w:sz="8" w:space="0" w:color="auto"/>
            </w:tcBorders>
            <w:shd w:val="clear" w:color="000000" w:fill="262626"/>
            <w:noWrap/>
            <w:vAlign w:val="center"/>
            <w:hideMark/>
          </w:tcPr>
          <w:p w14:paraId="769C3BFC"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98.771</w:t>
            </w:r>
          </w:p>
        </w:tc>
        <w:tc>
          <w:tcPr>
            <w:tcW w:w="1012" w:type="dxa"/>
            <w:tcBorders>
              <w:top w:val="nil"/>
              <w:left w:val="nil"/>
              <w:bottom w:val="nil"/>
              <w:right w:val="single" w:sz="8" w:space="0" w:color="auto"/>
            </w:tcBorders>
            <w:shd w:val="clear" w:color="000000" w:fill="262626"/>
            <w:noWrap/>
            <w:vAlign w:val="center"/>
            <w:hideMark/>
          </w:tcPr>
          <w:p w14:paraId="62B6325F"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87.678</w:t>
            </w:r>
          </w:p>
        </w:tc>
      </w:tr>
      <w:tr w:rsidR="0058442B" w:rsidRPr="003D2B87" w14:paraId="4BCE8FD0" w14:textId="77777777" w:rsidTr="00786A5F">
        <w:trPr>
          <w:trHeight w:val="390"/>
        </w:trPr>
        <w:tc>
          <w:tcPr>
            <w:tcW w:w="4000" w:type="dxa"/>
            <w:tcBorders>
              <w:top w:val="nil"/>
              <w:left w:val="single" w:sz="8" w:space="0" w:color="auto"/>
              <w:bottom w:val="single" w:sz="8" w:space="0" w:color="auto"/>
              <w:right w:val="single" w:sz="8" w:space="0" w:color="auto"/>
            </w:tcBorders>
            <w:shd w:val="clear" w:color="auto" w:fill="auto"/>
            <w:noWrap/>
            <w:vAlign w:val="center"/>
            <w:hideMark/>
          </w:tcPr>
          <w:p w14:paraId="503FD3E9" w14:textId="77777777" w:rsidR="0058442B" w:rsidRPr="003D2B87" w:rsidRDefault="0058442B" w:rsidP="0058442B">
            <w:pPr>
              <w:spacing w:after="0" w:line="240" w:lineRule="auto"/>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000000" w:fill="AEAAAA"/>
            <w:noWrap/>
            <w:vAlign w:val="center"/>
            <w:hideMark/>
          </w:tcPr>
          <w:p w14:paraId="3BB17C1F"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22F38003"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7282C941"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1E6FBE79"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3FEAE52C"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c>
          <w:tcPr>
            <w:tcW w:w="1012" w:type="dxa"/>
            <w:tcBorders>
              <w:top w:val="nil"/>
              <w:left w:val="nil"/>
              <w:bottom w:val="single" w:sz="8" w:space="0" w:color="auto"/>
              <w:right w:val="single" w:sz="8" w:space="0" w:color="auto"/>
            </w:tcBorders>
            <w:shd w:val="clear" w:color="auto" w:fill="auto"/>
            <w:noWrap/>
            <w:vAlign w:val="center"/>
            <w:hideMark/>
          </w:tcPr>
          <w:p w14:paraId="3166B22F" w14:textId="77777777" w:rsidR="0058442B" w:rsidRPr="003D2B87" w:rsidRDefault="0058442B" w:rsidP="0058442B">
            <w:pPr>
              <w:spacing w:after="0" w:line="240" w:lineRule="auto"/>
              <w:jc w:val="center"/>
              <w:rPr>
                <w:rFonts w:ascii="Arial" w:eastAsia="Times New Roman" w:hAnsi="Arial" w:cs="Arial"/>
                <w:color w:val="000000"/>
                <w:lang w:eastAsia="en-GB"/>
              </w:rPr>
            </w:pPr>
            <w:r w:rsidRPr="003D2B87">
              <w:rPr>
                <w:rFonts w:ascii="Arial" w:eastAsia="Times New Roman" w:hAnsi="Arial" w:cs="Arial"/>
                <w:color w:val="000000"/>
                <w:lang w:eastAsia="en-GB"/>
              </w:rPr>
              <w:t> </w:t>
            </w:r>
          </w:p>
        </w:tc>
      </w:tr>
      <w:tr w:rsidR="0058442B" w:rsidRPr="003D2B87" w14:paraId="0D3CDB2A" w14:textId="77777777" w:rsidTr="00786A5F">
        <w:trPr>
          <w:trHeight w:val="390"/>
        </w:trPr>
        <w:tc>
          <w:tcPr>
            <w:tcW w:w="4000" w:type="dxa"/>
            <w:tcBorders>
              <w:top w:val="nil"/>
              <w:left w:val="single" w:sz="8" w:space="0" w:color="auto"/>
              <w:bottom w:val="single" w:sz="8" w:space="0" w:color="auto"/>
              <w:right w:val="single" w:sz="8" w:space="0" w:color="auto"/>
            </w:tcBorders>
            <w:shd w:val="clear" w:color="000000" w:fill="262626"/>
            <w:noWrap/>
            <w:vAlign w:val="center"/>
            <w:hideMark/>
          </w:tcPr>
          <w:p w14:paraId="4E6FF721" w14:textId="77777777" w:rsidR="0058442B" w:rsidRPr="003D2B87" w:rsidRDefault="0058442B" w:rsidP="0058442B">
            <w:pPr>
              <w:spacing w:after="0" w:line="240" w:lineRule="auto"/>
              <w:rPr>
                <w:rFonts w:ascii="Arial" w:eastAsia="Times New Roman" w:hAnsi="Arial" w:cs="Arial"/>
                <w:b/>
                <w:bCs/>
                <w:color w:val="FFFFFF"/>
                <w:lang w:eastAsia="en-GB"/>
              </w:rPr>
            </w:pPr>
            <w:r w:rsidRPr="003D2B87">
              <w:rPr>
                <w:rFonts w:ascii="Arial" w:eastAsia="Times New Roman" w:hAnsi="Arial" w:cs="Arial"/>
                <w:b/>
                <w:bCs/>
                <w:color w:val="FFFFFF"/>
                <w:lang w:eastAsia="en-GB"/>
              </w:rPr>
              <w:t>Surplus (+)/Deficit (-)</w:t>
            </w:r>
          </w:p>
        </w:tc>
        <w:tc>
          <w:tcPr>
            <w:tcW w:w="1012" w:type="dxa"/>
            <w:tcBorders>
              <w:top w:val="nil"/>
              <w:left w:val="nil"/>
              <w:bottom w:val="single" w:sz="8" w:space="0" w:color="auto"/>
              <w:right w:val="single" w:sz="8" w:space="0" w:color="auto"/>
            </w:tcBorders>
            <w:shd w:val="clear" w:color="000000" w:fill="262626"/>
            <w:noWrap/>
            <w:vAlign w:val="center"/>
            <w:hideMark/>
          </w:tcPr>
          <w:p w14:paraId="38687B4A"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-2.804</w:t>
            </w:r>
          </w:p>
        </w:tc>
        <w:tc>
          <w:tcPr>
            <w:tcW w:w="1012" w:type="dxa"/>
            <w:tcBorders>
              <w:top w:val="nil"/>
              <w:left w:val="nil"/>
              <w:bottom w:val="single" w:sz="8" w:space="0" w:color="auto"/>
              <w:right w:val="single" w:sz="8" w:space="0" w:color="auto"/>
            </w:tcBorders>
            <w:shd w:val="clear" w:color="000000" w:fill="262626"/>
            <w:noWrap/>
            <w:vAlign w:val="center"/>
            <w:hideMark/>
          </w:tcPr>
          <w:p w14:paraId="1B4E989B"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-7.516</w:t>
            </w:r>
          </w:p>
        </w:tc>
        <w:tc>
          <w:tcPr>
            <w:tcW w:w="1012" w:type="dxa"/>
            <w:tcBorders>
              <w:top w:val="nil"/>
              <w:left w:val="nil"/>
              <w:bottom w:val="single" w:sz="8" w:space="0" w:color="auto"/>
              <w:right w:val="single" w:sz="8" w:space="0" w:color="auto"/>
            </w:tcBorders>
            <w:shd w:val="clear" w:color="000000" w:fill="262626"/>
            <w:noWrap/>
            <w:vAlign w:val="center"/>
            <w:hideMark/>
          </w:tcPr>
          <w:p w14:paraId="31413A2B"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0.000</w:t>
            </w:r>
          </w:p>
        </w:tc>
        <w:tc>
          <w:tcPr>
            <w:tcW w:w="1012" w:type="dxa"/>
            <w:tcBorders>
              <w:top w:val="nil"/>
              <w:left w:val="nil"/>
              <w:bottom w:val="single" w:sz="8" w:space="0" w:color="auto"/>
              <w:right w:val="single" w:sz="8" w:space="0" w:color="auto"/>
            </w:tcBorders>
            <w:shd w:val="clear" w:color="000000" w:fill="262626"/>
            <w:noWrap/>
            <w:vAlign w:val="center"/>
            <w:hideMark/>
          </w:tcPr>
          <w:p w14:paraId="2E613E84"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0.000</w:t>
            </w:r>
          </w:p>
        </w:tc>
        <w:tc>
          <w:tcPr>
            <w:tcW w:w="1012" w:type="dxa"/>
            <w:tcBorders>
              <w:top w:val="nil"/>
              <w:left w:val="nil"/>
              <w:bottom w:val="single" w:sz="8" w:space="0" w:color="auto"/>
              <w:right w:val="single" w:sz="8" w:space="0" w:color="auto"/>
            </w:tcBorders>
            <w:shd w:val="clear" w:color="000000" w:fill="262626"/>
            <w:noWrap/>
            <w:vAlign w:val="center"/>
            <w:hideMark/>
          </w:tcPr>
          <w:p w14:paraId="63A81EF3"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0.000</w:t>
            </w:r>
          </w:p>
        </w:tc>
        <w:tc>
          <w:tcPr>
            <w:tcW w:w="1012" w:type="dxa"/>
            <w:tcBorders>
              <w:top w:val="nil"/>
              <w:left w:val="nil"/>
              <w:bottom w:val="single" w:sz="8" w:space="0" w:color="auto"/>
              <w:right w:val="single" w:sz="8" w:space="0" w:color="auto"/>
            </w:tcBorders>
            <w:shd w:val="clear" w:color="000000" w:fill="262626"/>
            <w:noWrap/>
            <w:vAlign w:val="center"/>
            <w:hideMark/>
          </w:tcPr>
          <w:p w14:paraId="43B837AE"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6.894</w:t>
            </w:r>
          </w:p>
        </w:tc>
      </w:tr>
      <w:tr w:rsidR="0058442B" w:rsidRPr="003D2B87" w14:paraId="3C7D28CA" w14:textId="77777777" w:rsidTr="00786A5F">
        <w:trPr>
          <w:trHeight w:val="300"/>
        </w:trPr>
        <w:tc>
          <w:tcPr>
            <w:tcW w:w="8048" w:type="dxa"/>
            <w:gridSpan w:val="5"/>
            <w:tcBorders>
              <w:top w:val="nil"/>
              <w:left w:val="nil"/>
              <w:bottom w:val="nil"/>
              <w:right w:val="nil"/>
            </w:tcBorders>
            <w:shd w:val="clear" w:color="auto" w:fill="auto"/>
            <w:noWrap/>
            <w:vAlign w:val="bottom"/>
            <w:hideMark/>
          </w:tcPr>
          <w:p w14:paraId="72B0A2A3" w14:textId="77777777" w:rsidR="0058442B" w:rsidRPr="003D2B87" w:rsidRDefault="0058442B" w:rsidP="0058442B">
            <w:pPr>
              <w:spacing w:after="0" w:line="240" w:lineRule="auto"/>
              <w:rPr>
                <w:rFonts w:ascii="Calibri" w:eastAsia="Times New Roman" w:hAnsi="Calibri" w:cs="Calibri"/>
                <w:color w:val="000000"/>
                <w:lang w:eastAsia="en-GB"/>
              </w:rPr>
            </w:pPr>
            <w:r w:rsidRPr="003D2B87">
              <w:rPr>
                <w:rFonts w:ascii="Calibri" w:eastAsia="Times New Roman" w:hAnsi="Calibri" w:cs="Calibri"/>
                <w:color w:val="000000"/>
                <w:lang w:eastAsia="en-GB"/>
              </w:rPr>
              <w:t xml:space="preserve">*These 3 rows are income/savings with a positive effect on the High Needs block.  </w:t>
            </w:r>
          </w:p>
        </w:tc>
        <w:tc>
          <w:tcPr>
            <w:tcW w:w="1012" w:type="dxa"/>
            <w:tcBorders>
              <w:top w:val="nil"/>
              <w:left w:val="nil"/>
              <w:bottom w:val="nil"/>
              <w:right w:val="nil"/>
            </w:tcBorders>
            <w:shd w:val="clear" w:color="auto" w:fill="auto"/>
            <w:noWrap/>
            <w:vAlign w:val="bottom"/>
            <w:hideMark/>
          </w:tcPr>
          <w:p w14:paraId="7D5C32E2" w14:textId="77777777" w:rsidR="0058442B" w:rsidRPr="003D2B87" w:rsidRDefault="0058442B" w:rsidP="0058442B">
            <w:pPr>
              <w:spacing w:after="0" w:line="240" w:lineRule="auto"/>
              <w:rPr>
                <w:rFonts w:ascii="Calibri" w:eastAsia="Times New Roman" w:hAnsi="Calibri" w:cs="Calibri"/>
                <w:color w:val="000000"/>
                <w:lang w:eastAsia="en-GB"/>
              </w:rPr>
            </w:pPr>
          </w:p>
        </w:tc>
        <w:tc>
          <w:tcPr>
            <w:tcW w:w="1012" w:type="dxa"/>
            <w:tcBorders>
              <w:top w:val="nil"/>
              <w:left w:val="nil"/>
              <w:bottom w:val="nil"/>
              <w:right w:val="nil"/>
            </w:tcBorders>
            <w:shd w:val="clear" w:color="auto" w:fill="auto"/>
            <w:noWrap/>
            <w:vAlign w:val="bottom"/>
            <w:hideMark/>
          </w:tcPr>
          <w:p w14:paraId="5519090D" w14:textId="77777777" w:rsidR="0058442B" w:rsidRPr="003D2B87" w:rsidRDefault="0058442B" w:rsidP="0058442B">
            <w:pPr>
              <w:spacing w:after="0" w:line="240" w:lineRule="auto"/>
              <w:jc w:val="center"/>
              <w:rPr>
                <w:rFonts w:ascii="Times New Roman" w:eastAsia="Times New Roman" w:hAnsi="Times New Roman" w:cs="Times New Roman"/>
                <w:sz w:val="20"/>
                <w:szCs w:val="20"/>
                <w:lang w:eastAsia="en-GB"/>
              </w:rPr>
            </w:pPr>
          </w:p>
        </w:tc>
      </w:tr>
    </w:tbl>
    <w:p w14:paraId="2892AAE5" w14:textId="77777777" w:rsidR="0058442B" w:rsidRPr="003D2B87" w:rsidRDefault="0058442B" w:rsidP="0058442B">
      <w:pPr>
        <w:rPr>
          <w:rFonts w:ascii="Arial" w:hAnsi="Arial" w:cs="Calibri"/>
          <w:color w:val="000000"/>
          <w:sz w:val="24"/>
          <w:szCs w:val="24"/>
          <w:lang w:eastAsia="en-GB"/>
        </w:rPr>
        <w:sectPr w:rsidR="0058442B" w:rsidRPr="003D2B87" w:rsidSect="00786A5F">
          <w:footerReference w:type="default" r:id="rId9"/>
          <w:pgSz w:w="11906" w:h="16838"/>
          <w:pgMar w:top="1361" w:right="1418" w:bottom="1361" w:left="1418" w:header="709" w:footer="709" w:gutter="0"/>
          <w:cols w:space="708"/>
          <w:docGrid w:linePitch="360"/>
        </w:sectPr>
      </w:pPr>
    </w:p>
    <w:tbl>
      <w:tblPr>
        <w:tblW w:w="10027" w:type="dxa"/>
        <w:tblInd w:w="-507" w:type="dxa"/>
        <w:tblLook w:val="04A0" w:firstRow="1" w:lastRow="0" w:firstColumn="1" w:lastColumn="0" w:noHBand="0" w:noVBand="1"/>
      </w:tblPr>
      <w:tblGrid>
        <w:gridCol w:w="2051"/>
        <w:gridCol w:w="1208"/>
        <w:gridCol w:w="1128"/>
        <w:gridCol w:w="1128"/>
        <w:gridCol w:w="1128"/>
        <w:gridCol w:w="1128"/>
        <w:gridCol w:w="1128"/>
        <w:gridCol w:w="1128"/>
      </w:tblGrid>
      <w:tr w:rsidR="0058442B" w:rsidRPr="003D2B87" w14:paraId="01AF39B7" w14:textId="77777777" w:rsidTr="00786A5F">
        <w:trPr>
          <w:trHeight w:val="896"/>
        </w:trPr>
        <w:tc>
          <w:tcPr>
            <w:tcW w:w="2051" w:type="dxa"/>
            <w:tcBorders>
              <w:top w:val="single" w:sz="8" w:space="0" w:color="auto"/>
              <w:left w:val="single" w:sz="8" w:space="0" w:color="auto"/>
              <w:bottom w:val="single" w:sz="8" w:space="0" w:color="auto"/>
              <w:right w:val="single" w:sz="8" w:space="0" w:color="auto"/>
            </w:tcBorders>
            <w:shd w:val="clear" w:color="000000" w:fill="262626"/>
            <w:noWrap/>
            <w:vAlign w:val="bottom"/>
            <w:hideMark/>
          </w:tcPr>
          <w:p w14:paraId="1DB2E10B" w14:textId="77777777" w:rsidR="0058442B" w:rsidRPr="003D2B87" w:rsidRDefault="0058442B" w:rsidP="0058442B">
            <w:pPr>
              <w:spacing w:after="0" w:line="240" w:lineRule="auto"/>
              <w:rPr>
                <w:rFonts w:ascii="Calibri" w:eastAsia="Times New Roman" w:hAnsi="Calibri" w:cs="Calibri"/>
                <w:color w:val="000000"/>
                <w:lang w:eastAsia="en-GB"/>
              </w:rPr>
            </w:pPr>
            <w:r w:rsidRPr="003D2B87">
              <w:rPr>
                <w:rFonts w:ascii="Calibri" w:eastAsia="Times New Roman" w:hAnsi="Calibri" w:cs="Calibri"/>
                <w:color w:val="000000"/>
                <w:lang w:eastAsia="en-GB"/>
              </w:rPr>
              <w:lastRenderedPageBreak/>
              <w:t> </w:t>
            </w:r>
          </w:p>
        </w:tc>
        <w:tc>
          <w:tcPr>
            <w:tcW w:w="1208" w:type="dxa"/>
            <w:tcBorders>
              <w:top w:val="single" w:sz="8" w:space="0" w:color="auto"/>
              <w:left w:val="nil"/>
              <w:bottom w:val="single" w:sz="8" w:space="0" w:color="auto"/>
              <w:right w:val="single" w:sz="8" w:space="0" w:color="auto"/>
            </w:tcBorders>
            <w:shd w:val="clear" w:color="000000" w:fill="262626"/>
            <w:vAlign w:val="center"/>
            <w:hideMark/>
          </w:tcPr>
          <w:p w14:paraId="72703244"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Brought Forward</w:t>
            </w:r>
          </w:p>
        </w:tc>
        <w:tc>
          <w:tcPr>
            <w:tcW w:w="1128" w:type="dxa"/>
            <w:tcBorders>
              <w:top w:val="single" w:sz="8" w:space="0" w:color="auto"/>
              <w:left w:val="nil"/>
              <w:bottom w:val="single" w:sz="8" w:space="0" w:color="auto"/>
              <w:right w:val="single" w:sz="8" w:space="0" w:color="auto"/>
            </w:tcBorders>
            <w:shd w:val="clear" w:color="000000" w:fill="262626"/>
            <w:noWrap/>
            <w:vAlign w:val="center"/>
            <w:hideMark/>
          </w:tcPr>
          <w:p w14:paraId="554561A6"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2018/19</w:t>
            </w:r>
          </w:p>
        </w:tc>
        <w:tc>
          <w:tcPr>
            <w:tcW w:w="1128" w:type="dxa"/>
            <w:tcBorders>
              <w:top w:val="single" w:sz="8" w:space="0" w:color="auto"/>
              <w:left w:val="nil"/>
              <w:bottom w:val="single" w:sz="8" w:space="0" w:color="auto"/>
              <w:right w:val="single" w:sz="8" w:space="0" w:color="auto"/>
            </w:tcBorders>
            <w:shd w:val="clear" w:color="000000" w:fill="262626"/>
            <w:noWrap/>
            <w:vAlign w:val="center"/>
            <w:hideMark/>
          </w:tcPr>
          <w:p w14:paraId="61BFFC63"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2019/20</w:t>
            </w:r>
          </w:p>
        </w:tc>
        <w:tc>
          <w:tcPr>
            <w:tcW w:w="1128" w:type="dxa"/>
            <w:tcBorders>
              <w:top w:val="single" w:sz="8" w:space="0" w:color="auto"/>
              <w:left w:val="nil"/>
              <w:bottom w:val="single" w:sz="8" w:space="0" w:color="auto"/>
              <w:right w:val="single" w:sz="8" w:space="0" w:color="auto"/>
            </w:tcBorders>
            <w:shd w:val="clear" w:color="000000" w:fill="262626"/>
            <w:noWrap/>
            <w:vAlign w:val="center"/>
            <w:hideMark/>
          </w:tcPr>
          <w:p w14:paraId="1D424F10"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2020/21</w:t>
            </w:r>
          </w:p>
        </w:tc>
        <w:tc>
          <w:tcPr>
            <w:tcW w:w="1128" w:type="dxa"/>
            <w:tcBorders>
              <w:top w:val="single" w:sz="8" w:space="0" w:color="auto"/>
              <w:left w:val="nil"/>
              <w:bottom w:val="single" w:sz="8" w:space="0" w:color="auto"/>
              <w:right w:val="single" w:sz="8" w:space="0" w:color="auto"/>
            </w:tcBorders>
            <w:shd w:val="clear" w:color="000000" w:fill="262626"/>
            <w:noWrap/>
            <w:vAlign w:val="center"/>
            <w:hideMark/>
          </w:tcPr>
          <w:p w14:paraId="13DFDE46"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2021/22</w:t>
            </w:r>
          </w:p>
        </w:tc>
        <w:tc>
          <w:tcPr>
            <w:tcW w:w="1128" w:type="dxa"/>
            <w:tcBorders>
              <w:top w:val="single" w:sz="8" w:space="0" w:color="auto"/>
              <w:left w:val="nil"/>
              <w:bottom w:val="single" w:sz="8" w:space="0" w:color="auto"/>
              <w:right w:val="single" w:sz="8" w:space="0" w:color="auto"/>
            </w:tcBorders>
            <w:shd w:val="clear" w:color="000000" w:fill="262626"/>
            <w:noWrap/>
            <w:vAlign w:val="center"/>
            <w:hideMark/>
          </w:tcPr>
          <w:p w14:paraId="0E5EE585"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2022/23</w:t>
            </w:r>
          </w:p>
        </w:tc>
        <w:tc>
          <w:tcPr>
            <w:tcW w:w="1128" w:type="dxa"/>
            <w:tcBorders>
              <w:top w:val="single" w:sz="8" w:space="0" w:color="auto"/>
              <w:left w:val="nil"/>
              <w:bottom w:val="single" w:sz="8" w:space="0" w:color="auto"/>
              <w:right w:val="single" w:sz="8" w:space="0" w:color="auto"/>
            </w:tcBorders>
            <w:shd w:val="clear" w:color="000000" w:fill="262626"/>
            <w:noWrap/>
            <w:vAlign w:val="center"/>
            <w:hideMark/>
          </w:tcPr>
          <w:p w14:paraId="6997DABB" w14:textId="77777777" w:rsidR="0058442B" w:rsidRPr="003D2B87" w:rsidRDefault="0058442B" w:rsidP="0058442B">
            <w:pPr>
              <w:spacing w:after="0" w:line="240" w:lineRule="auto"/>
              <w:jc w:val="center"/>
              <w:rPr>
                <w:rFonts w:ascii="Arial" w:eastAsia="Times New Roman" w:hAnsi="Arial" w:cs="Arial"/>
                <w:b/>
                <w:bCs/>
                <w:color w:val="FFFFFF"/>
                <w:lang w:eastAsia="en-GB"/>
              </w:rPr>
            </w:pPr>
            <w:r w:rsidRPr="003D2B87">
              <w:rPr>
                <w:rFonts w:ascii="Arial" w:eastAsia="Times New Roman" w:hAnsi="Arial" w:cs="Arial"/>
                <w:b/>
                <w:bCs/>
                <w:color w:val="FFFFFF"/>
                <w:lang w:eastAsia="en-GB"/>
              </w:rPr>
              <w:t>2023/24</w:t>
            </w:r>
          </w:p>
        </w:tc>
      </w:tr>
      <w:tr w:rsidR="0058442B" w:rsidRPr="003D2B87" w14:paraId="6D99E2BD" w14:textId="77777777" w:rsidTr="00786A5F">
        <w:trPr>
          <w:trHeight w:val="675"/>
        </w:trPr>
        <w:tc>
          <w:tcPr>
            <w:tcW w:w="2051" w:type="dxa"/>
            <w:tcBorders>
              <w:top w:val="nil"/>
              <w:left w:val="single" w:sz="8" w:space="0" w:color="auto"/>
              <w:bottom w:val="single" w:sz="8" w:space="0" w:color="auto"/>
              <w:right w:val="single" w:sz="8" w:space="0" w:color="auto"/>
            </w:tcBorders>
            <w:shd w:val="clear" w:color="000000" w:fill="262626"/>
            <w:vAlign w:val="center"/>
            <w:hideMark/>
          </w:tcPr>
          <w:p w14:paraId="3A45C5AC" w14:textId="77777777" w:rsidR="0058442B" w:rsidRPr="003D2B87" w:rsidRDefault="0058442B" w:rsidP="0058442B">
            <w:pPr>
              <w:spacing w:after="0" w:line="240" w:lineRule="auto"/>
              <w:rPr>
                <w:rFonts w:ascii="Arial" w:eastAsia="Times New Roman" w:hAnsi="Arial" w:cs="Arial"/>
                <w:b/>
                <w:bCs/>
                <w:color w:val="FFFFFF"/>
                <w:lang w:eastAsia="en-GB"/>
              </w:rPr>
            </w:pPr>
            <w:r w:rsidRPr="003D2B87">
              <w:rPr>
                <w:rFonts w:ascii="Arial" w:eastAsia="Times New Roman" w:hAnsi="Arial" w:cs="Arial"/>
                <w:b/>
                <w:bCs/>
                <w:color w:val="FFFFFF"/>
                <w:lang w:eastAsia="en-GB"/>
              </w:rPr>
              <w:t>Cumulative Deficit</w:t>
            </w:r>
          </w:p>
        </w:tc>
        <w:tc>
          <w:tcPr>
            <w:tcW w:w="1208" w:type="dxa"/>
            <w:tcBorders>
              <w:top w:val="nil"/>
              <w:left w:val="nil"/>
              <w:bottom w:val="single" w:sz="8" w:space="0" w:color="auto"/>
              <w:right w:val="single" w:sz="8" w:space="0" w:color="auto"/>
            </w:tcBorders>
            <w:shd w:val="clear" w:color="auto" w:fill="auto"/>
            <w:vAlign w:val="center"/>
            <w:hideMark/>
          </w:tcPr>
          <w:p w14:paraId="21BD2710" w14:textId="77777777" w:rsidR="0058442B" w:rsidRPr="003D2B87" w:rsidRDefault="0058442B" w:rsidP="0058442B">
            <w:pPr>
              <w:spacing w:after="0" w:line="240" w:lineRule="auto"/>
              <w:jc w:val="center"/>
              <w:rPr>
                <w:rFonts w:ascii="Arial" w:eastAsia="Times New Roman" w:hAnsi="Arial" w:cs="Arial"/>
                <w:b/>
                <w:bCs/>
                <w:color w:val="000000"/>
                <w:lang w:eastAsia="en-GB"/>
              </w:rPr>
            </w:pPr>
            <w:r w:rsidRPr="003D2B87">
              <w:rPr>
                <w:rFonts w:ascii="Arial" w:eastAsia="Times New Roman" w:hAnsi="Arial" w:cs="Arial"/>
                <w:b/>
                <w:bCs/>
                <w:color w:val="000000"/>
                <w:lang w:eastAsia="en-GB"/>
              </w:rPr>
              <w:t>-8.087</w:t>
            </w:r>
          </w:p>
        </w:tc>
        <w:tc>
          <w:tcPr>
            <w:tcW w:w="1128" w:type="dxa"/>
            <w:tcBorders>
              <w:top w:val="nil"/>
              <w:left w:val="nil"/>
              <w:bottom w:val="single" w:sz="8" w:space="0" w:color="auto"/>
              <w:right w:val="single" w:sz="8" w:space="0" w:color="auto"/>
            </w:tcBorders>
            <w:shd w:val="clear" w:color="auto" w:fill="auto"/>
            <w:noWrap/>
            <w:vAlign w:val="center"/>
            <w:hideMark/>
          </w:tcPr>
          <w:p w14:paraId="7090578B" w14:textId="77777777" w:rsidR="0058442B" w:rsidRPr="003D2B87" w:rsidRDefault="0058442B" w:rsidP="0058442B">
            <w:pPr>
              <w:spacing w:after="0" w:line="240" w:lineRule="auto"/>
              <w:jc w:val="center"/>
              <w:rPr>
                <w:rFonts w:ascii="Arial" w:eastAsia="Times New Roman" w:hAnsi="Arial" w:cs="Arial"/>
                <w:b/>
                <w:bCs/>
                <w:color w:val="000000"/>
                <w:lang w:eastAsia="en-GB"/>
              </w:rPr>
            </w:pPr>
            <w:r w:rsidRPr="003D2B87">
              <w:rPr>
                <w:rFonts w:ascii="Arial" w:eastAsia="Times New Roman" w:hAnsi="Arial" w:cs="Arial"/>
                <w:b/>
                <w:bCs/>
                <w:color w:val="000000"/>
                <w:lang w:eastAsia="en-GB"/>
              </w:rPr>
              <w:t>-10.887</w:t>
            </w:r>
          </w:p>
        </w:tc>
        <w:tc>
          <w:tcPr>
            <w:tcW w:w="1128" w:type="dxa"/>
            <w:tcBorders>
              <w:top w:val="nil"/>
              <w:left w:val="nil"/>
              <w:bottom w:val="single" w:sz="8" w:space="0" w:color="auto"/>
              <w:right w:val="single" w:sz="8" w:space="0" w:color="auto"/>
            </w:tcBorders>
            <w:shd w:val="clear" w:color="auto" w:fill="auto"/>
            <w:noWrap/>
            <w:vAlign w:val="center"/>
            <w:hideMark/>
          </w:tcPr>
          <w:p w14:paraId="6C7B5B51" w14:textId="77777777" w:rsidR="0058442B" w:rsidRPr="003D2B87" w:rsidRDefault="0058442B" w:rsidP="0058442B">
            <w:pPr>
              <w:spacing w:after="0" w:line="240" w:lineRule="auto"/>
              <w:jc w:val="center"/>
              <w:rPr>
                <w:rFonts w:ascii="Arial" w:eastAsia="Times New Roman" w:hAnsi="Arial" w:cs="Arial"/>
                <w:b/>
                <w:bCs/>
                <w:color w:val="000000"/>
                <w:lang w:eastAsia="en-GB"/>
              </w:rPr>
            </w:pPr>
            <w:r w:rsidRPr="003D2B87">
              <w:rPr>
                <w:rFonts w:ascii="Arial" w:eastAsia="Times New Roman" w:hAnsi="Arial" w:cs="Arial"/>
                <w:b/>
                <w:bCs/>
                <w:color w:val="000000"/>
                <w:lang w:eastAsia="en-GB"/>
              </w:rPr>
              <w:t>-18.403</w:t>
            </w:r>
          </w:p>
        </w:tc>
        <w:tc>
          <w:tcPr>
            <w:tcW w:w="1128" w:type="dxa"/>
            <w:tcBorders>
              <w:top w:val="nil"/>
              <w:left w:val="nil"/>
              <w:bottom w:val="single" w:sz="8" w:space="0" w:color="auto"/>
              <w:right w:val="single" w:sz="8" w:space="0" w:color="auto"/>
            </w:tcBorders>
            <w:shd w:val="clear" w:color="auto" w:fill="auto"/>
            <w:noWrap/>
            <w:vAlign w:val="center"/>
            <w:hideMark/>
          </w:tcPr>
          <w:p w14:paraId="536B1AF3" w14:textId="77777777" w:rsidR="0058442B" w:rsidRPr="003D2B87" w:rsidRDefault="0058442B" w:rsidP="0058442B">
            <w:pPr>
              <w:spacing w:after="0" w:line="240" w:lineRule="auto"/>
              <w:jc w:val="center"/>
              <w:rPr>
                <w:rFonts w:ascii="Arial" w:eastAsia="Times New Roman" w:hAnsi="Arial" w:cs="Arial"/>
                <w:b/>
                <w:bCs/>
                <w:color w:val="000000"/>
                <w:lang w:eastAsia="en-GB"/>
              </w:rPr>
            </w:pPr>
            <w:r w:rsidRPr="003D2B87">
              <w:rPr>
                <w:rFonts w:ascii="Arial" w:eastAsia="Times New Roman" w:hAnsi="Arial" w:cs="Arial"/>
                <w:b/>
                <w:bCs/>
                <w:color w:val="000000"/>
                <w:lang w:eastAsia="en-GB"/>
              </w:rPr>
              <w:t>-16.578</w:t>
            </w:r>
          </w:p>
        </w:tc>
        <w:tc>
          <w:tcPr>
            <w:tcW w:w="1128" w:type="dxa"/>
            <w:tcBorders>
              <w:top w:val="nil"/>
              <w:left w:val="nil"/>
              <w:bottom w:val="single" w:sz="8" w:space="0" w:color="auto"/>
              <w:right w:val="single" w:sz="8" w:space="0" w:color="auto"/>
            </w:tcBorders>
            <w:shd w:val="clear" w:color="auto" w:fill="auto"/>
            <w:noWrap/>
            <w:vAlign w:val="center"/>
            <w:hideMark/>
          </w:tcPr>
          <w:p w14:paraId="4EF5C51A" w14:textId="77777777" w:rsidR="0058442B" w:rsidRPr="003D2B87" w:rsidRDefault="0058442B" w:rsidP="0058442B">
            <w:pPr>
              <w:spacing w:after="0" w:line="240" w:lineRule="auto"/>
              <w:jc w:val="center"/>
              <w:rPr>
                <w:rFonts w:ascii="Arial" w:eastAsia="Times New Roman" w:hAnsi="Arial" w:cs="Arial"/>
                <w:b/>
                <w:bCs/>
                <w:color w:val="000000"/>
                <w:lang w:eastAsia="en-GB"/>
              </w:rPr>
            </w:pPr>
            <w:r w:rsidRPr="003D2B87">
              <w:rPr>
                <w:rFonts w:ascii="Arial" w:eastAsia="Times New Roman" w:hAnsi="Arial" w:cs="Arial"/>
                <w:b/>
                <w:bCs/>
                <w:color w:val="000000"/>
                <w:lang w:eastAsia="en-GB"/>
              </w:rPr>
              <w:t>-8.974</w:t>
            </w:r>
          </w:p>
        </w:tc>
        <w:tc>
          <w:tcPr>
            <w:tcW w:w="1128" w:type="dxa"/>
            <w:tcBorders>
              <w:top w:val="nil"/>
              <w:left w:val="nil"/>
              <w:bottom w:val="single" w:sz="8" w:space="0" w:color="auto"/>
              <w:right w:val="single" w:sz="8" w:space="0" w:color="auto"/>
            </w:tcBorders>
            <w:shd w:val="clear" w:color="auto" w:fill="auto"/>
            <w:noWrap/>
            <w:vAlign w:val="center"/>
            <w:hideMark/>
          </w:tcPr>
          <w:p w14:paraId="459754B5" w14:textId="77777777" w:rsidR="0058442B" w:rsidRPr="003D2B87" w:rsidRDefault="0058442B" w:rsidP="0058442B">
            <w:pPr>
              <w:spacing w:after="0" w:line="240" w:lineRule="auto"/>
              <w:jc w:val="center"/>
              <w:rPr>
                <w:rFonts w:ascii="Arial" w:eastAsia="Times New Roman" w:hAnsi="Arial" w:cs="Arial"/>
                <w:b/>
                <w:bCs/>
                <w:color w:val="000000"/>
                <w:lang w:eastAsia="en-GB"/>
              </w:rPr>
            </w:pPr>
            <w:r w:rsidRPr="003D2B87">
              <w:rPr>
                <w:rFonts w:ascii="Arial" w:eastAsia="Times New Roman" w:hAnsi="Arial" w:cs="Arial"/>
                <w:b/>
                <w:bCs/>
                <w:color w:val="000000"/>
                <w:lang w:eastAsia="en-GB"/>
              </w:rPr>
              <w:t>0.852</w:t>
            </w:r>
          </w:p>
        </w:tc>
        <w:tc>
          <w:tcPr>
            <w:tcW w:w="1128" w:type="dxa"/>
            <w:tcBorders>
              <w:top w:val="nil"/>
              <w:left w:val="nil"/>
              <w:bottom w:val="single" w:sz="8" w:space="0" w:color="auto"/>
              <w:right w:val="single" w:sz="8" w:space="0" w:color="auto"/>
            </w:tcBorders>
            <w:shd w:val="clear" w:color="auto" w:fill="auto"/>
            <w:noWrap/>
            <w:vAlign w:val="center"/>
            <w:hideMark/>
          </w:tcPr>
          <w:p w14:paraId="59996A8F" w14:textId="77777777" w:rsidR="0058442B" w:rsidRPr="003D2B87" w:rsidRDefault="0058442B" w:rsidP="0058442B">
            <w:pPr>
              <w:spacing w:after="0" w:line="240" w:lineRule="auto"/>
              <w:jc w:val="center"/>
              <w:rPr>
                <w:rFonts w:ascii="Arial" w:eastAsia="Times New Roman" w:hAnsi="Arial" w:cs="Arial"/>
                <w:b/>
                <w:bCs/>
                <w:color w:val="000000"/>
                <w:lang w:eastAsia="en-GB"/>
              </w:rPr>
            </w:pPr>
            <w:r w:rsidRPr="003D2B87">
              <w:rPr>
                <w:rFonts w:ascii="Arial" w:eastAsia="Times New Roman" w:hAnsi="Arial" w:cs="Arial"/>
                <w:b/>
                <w:bCs/>
                <w:color w:val="000000"/>
                <w:lang w:eastAsia="en-GB"/>
              </w:rPr>
              <w:t>7.746</w:t>
            </w:r>
          </w:p>
        </w:tc>
      </w:tr>
    </w:tbl>
    <w:p w14:paraId="439C50FD" w14:textId="77777777" w:rsidR="0058442B" w:rsidRPr="003D2B87" w:rsidRDefault="0058442B" w:rsidP="0058442B">
      <w:pPr>
        <w:rPr>
          <w:rFonts w:ascii="Arial" w:hAnsi="Arial" w:cs="Calibri"/>
          <w:color w:val="000000"/>
          <w:sz w:val="24"/>
          <w:szCs w:val="24"/>
          <w:lang w:eastAsia="en-GB"/>
        </w:rPr>
      </w:pPr>
    </w:p>
    <w:p w14:paraId="5EDBDC24" w14:textId="77777777" w:rsidR="0058442B" w:rsidRPr="003D2B87" w:rsidRDefault="0058442B" w:rsidP="0058442B">
      <w:pPr>
        <w:spacing w:after="240"/>
        <w:rPr>
          <w:rFonts w:ascii="Arial" w:hAnsi="Arial" w:cs="Calibri"/>
          <w:sz w:val="24"/>
          <w:szCs w:val="24"/>
        </w:rPr>
      </w:pPr>
      <w:r w:rsidRPr="003D2B87">
        <w:rPr>
          <w:rFonts w:ascii="Arial" w:hAnsi="Arial" w:cs="Calibri"/>
          <w:sz w:val="24"/>
          <w:szCs w:val="24"/>
        </w:rPr>
        <w:t>The revised recovery plan projects that the High Needs Block will balance in-year from 2020/21 onwards, and that the DSG deficit will be fully recovered by 2022/23, assuming a continuing (but reduced) transfer from the Schools Block to the High Needs Block for the next 3 years. The cumulative deficit position is forecast to have reached £18.4m by the end of 2019/20 and, as this is a ring-fenced grant, the deficit will need to be repaid over a number of future years.  This deficit will be identified separately within the Council’s accounts from the Council’s general reserves, as per the DfE guidance.</w:t>
      </w:r>
    </w:p>
    <w:p w14:paraId="33992FF0" w14:textId="02AB6E69" w:rsidR="0058442B" w:rsidRPr="003D2B87" w:rsidRDefault="0058442B" w:rsidP="0058442B">
      <w:pPr>
        <w:rPr>
          <w:rFonts w:ascii="Arial" w:hAnsi="Arial" w:cs="Calibri"/>
          <w:color w:val="000000"/>
          <w:sz w:val="24"/>
          <w:szCs w:val="24"/>
          <w:lang w:eastAsia="en-GB"/>
        </w:rPr>
      </w:pPr>
      <w:r w:rsidRPr="00131DCD">
        <w:rPr>
          <w:rFonts w:ascii="Arial" w:hAnsi="Arial" w:cs="Calibri"/>
          <w:color w:val="000000"/>
          <w:sz w:val="24"/>
          <w:szCs w:val="24"/>
          <w:lang w:eastAsia="en-GB"/>
        </w:rPr>
        <w:t xml:space="preserve">It should be noted that if </w:t>
      </w:r>
      <w:r w:rsidR="00704BF6" w:rsidRPr="00131DCD">
        <w:rPr>
          <w:rFonts w:ascii="Arial" w:hAnsi="Arial" w:cs="Calibri"/>
          <w:color w:val="000000"/>
          <w:sz w:val="24"/>
          <w:szCs w:val="24"/>
          <w:lang w:eastAsia="en-GB"/>
        </w:rPr>
        <w:t xml:space="preserve">the movement of </w:t>
      </w:r>
      <w:r w:rsidRPr="00131DCD">
        <w:rPr>
          <w:rFonts w:ascii="Arial" w:hAnsi="Arial" w:cs="Calibri"/>
          <w:color w:val="000000"/>
          <w:sz w:val="24"/>
          <w:szCs w:val="24"/>
          <w:lang w:eastAsia="en-GB"/>
        </w:rPr>
        <w:t xml:space="preserve">funding from the School’s Block to the High Needs Block is not agreed, or if </w:t>
      </w:r>
      <w:r w:rsidR="00704BF6" w:rsidRPr="00131DCD">
        <w:rPr>
          <w:rFonts w:ascii="Arial" w:hAnsi="Arial" w:cs="Calibri"/>
          <w:color w:val="000000"/>
          <w:sz w:val="24"/>
          <w:szCs w:val="24"/>
          <w:lang w:eastAsia="en-GB"/>
        </w:rPr>
        <w:t xml:space="preserve">it is </w:t>
      </w:r>
      <w:r w:rsidRPr="00131DCD">
        <w:rPr>
          <w:rFonts w:ascii="Arial" w:hAnsi="Arial" w:cs="Calibri"/>
          <w:color w:val="000000"/>
          <w:sz w:val="24"/>
          <w:szCs w:val="24"/>
          <w:lang w:eastAsia="en-GB"/>
        </w:rPr>
        <w:t>only partially agreed, then there will be a delay as to when an in-year sustainable position will be achieved, and the repayment of the cumulative deficit will be delayed.</w:t>
      </w:r>
    </w:p>
    <w:p w14:paraId="16D0E262" w14:textId="77777777" w:rsidR="0058442B" w:rsidRPr="003D2B87" w:rsidRDefault="0058442B" w:rsidP="0058442B">
      <w:pPr>
        <w:rPr>
          <w:rFonts w:ascii="Arial" w:hAnsi="Arial" w:cs="Arial"/>
          <w:sz w:val="24"/>
          <w:szCs w:val="24"/>
        </w:rPr>
      </w:pPr>
      <w:r w:rsidRPr="003D2B87">
        <w:rPr>
          <w:rFonts w:ascii="Arial" w:hAnsi="Arial" w:cs="Arial"/>
          <w:sz w:val="24"/>
          <w:szCs w:val="24"/>
        </w:rPr>
        <w:t>Although the consultation on the grant conditions proposes that there will be no call upon NCC General Fund to repay the principal of the outstanding cumulative deficit, the General Fund still bears the hidden cost of lost interest whilst the County Council ‘bank rolls’ the deficit.  This estimated cost to the end of 2018/19 is approx. £0.2-0.3m, with the future cost of the LA’s preferred option estimated at £0.8-1.6m (based upon the current, low interest rates).</w:t>
      </w:r>
    </w:p>
    <w:p w14:paraId="6689750F" w14:textId="77777777" w:rsidR="0058442B" w:rsidRPr="003D2B87" w:rsidRDefault="0058442B" w:rsidP="0058442B">
      <w:pPr>
        <w:rPr>
          <w:rFonts w:ascii="Arial" w:hAnsi="Arial" w:cs="Arial"/>
          <w:sz w:val="24"/>
          <w:szCs w:val="24"/>
        </w:rPr>
      </w:pPr>
      <w:r w:rsidRPr="003D2B87">
        <w:rPr>
          <w:rFonts w:ascii="Arial" w:hAnsi="Arial" w:cs="Arial"/>
          <w:sz w:val="24"/>
          <w:szCs w:val="24"/>
        </w:rPr>
        <w:t xml:space="preserve">The financial modelling is based upon the best available information at the time of preparation and some elements of the transformation planned are further through the planning cycle than other elements.  For example, detailed plans for new Special School provision is well-underway allowing the financial modelling to take account of the planned movement of places from independent to maintained special schools. </w:t>
      </w:r>
    </w:p>
    <w:p w14:paraId="425CA7C7" w14:textId="77777777" w:rsidR="0058442B" w:rsidRPr="003D2B87" w:rsidRDefault="0058442B" w:rsidP="0058442B">
      <w:pPr>
        <w:rPr>
          <w:rFonts w:ascii="Arial" w:hAnsi="Arial" w:cs="Arial"/>
          <w:sz w:val="24"/>
          <w:szCs w:val="24"/>
        </w:rPr>
      </w:pPr>
      <w:r w:rsidRPr="003D2B87">
        <w:rPr>
          <w:rFonts w:ascii="Arial" w:hAnsi="Arial" w:cs="Arial"/>
          <w:sz w:val="24"/>
          <w:szCs w:val="24"/>
        </w:rPr>
        <w:t xml:space="preserve">There are updates on both the transformation programme and the DSG Recovery Plan scheduled within the Schools’ Forum Forward Plan for the 2019/20 academic year.  As detailed planning continues, the local authority will review the validity of the assumptions made and will make appropriate updates to the place and financial modelling for future years.  </w:t>
      </w:r>
    </w:p>
    <w:p w14:paraId="779D4346" w14:textId="77777777" w:rsidR="0058442B" w:rsidRPr="003D2B87" w:rsidRDefault="0058442B" w:rsidP="0058442B">
      <w:pPr>
        <w:rPr>
          <w:rFonts w:ascii="Arial" w:hAnsi="Arial" w:cs="Arial"/>
          <w:b/>
          <w:sz w:val="24"/>
          <w:szCs w:val="24"/>
        </w:rPr>
      </w:pPr>
    </w:p>
    <w:p w14:paraId="672AC74B" w14:textId="77777777" w:rsidR="0058442B" w:rsidRPr="003D2B87" w:rsidRDefault="0058442B" w:rsidP="000853FC">
      <w:pPr>
        <w:rPr>
          <w:rFonts w:ascii="Arial" w:hAnsi="Arial" w:cs="Arial"/>
          <w:b/>
          <w:sz w:val="24"/>
          <w:szCs w:val="24"/>
        </w:rPr>
      </w:pPr>
      <w:r w:rsidRPr="003D2B87">
        <w:rPr>
          <w:rFonts w:ascii="Arial" w:hAnsi="Arial" w:cs="Arial"/>
          <w:b/>
          <w:sz w:val="24"/>
          <w:szCs w:val="24"/>
        </w:rPr>
        <w:t xml:space="preserve">Further transfer of funds between Schools Block and High Needs Block </w:t>
      </w:r>
    </w:p>
    <w:p w14:paraId="6F2C739E" w14:textId="77777777" w:rsidR="00704BF6" w:rsidRPr="00131DCD" w:rsidRDefault="0058442B" w:rsidP="0058442B">
      <w:pPr>
        <w:rPr>
          <w:rFonts w:ascii="Arial" w:hAnsi="Arial" w:cs="Arial"/>
          <w:sz w:val="24"/>
          <w:szCs w:val="24"/>
        </w:rPr>
      </w:pPr>
      <w:r w:rsidRPr="00131DCD">
        <w:rPr>
          <w:rFonts w:ascii="Arial" w:hAnsi="Arial" w:cs="Arial"/>
          <w:sz w:val="24"/>
          <w:szCs w:val="24"/>
        </w:rPr>
        <w:t xml:space="preserve">The DfE have indicated that Norfolk’s share of increased High Needs Block funding should be in the region of £10.2m for 2020/21.  </w:t>
      </w:r>
      <w:r w:rsidR="00704BF6" w:rsidRPr="00131DCD">
        <w:rPr>
          <w:rFonts w:ascii="Arial" w:hAnsi="Arial" w:cs="Arial"/>
          <w:sz w:val="24"/>
          <w:szCs w:val="24"/>
        </w:rPr>
        <w:t xml:space="preserve">The Local Authority is very conscious of the budget challenges across the whole DSG and, in particular, the financial challenges facing Norfolk schools.  The authority is conscious of the need to support schools to invest in SEND provision within their schools, but also faces the ongoing </w:t>
      </w:r>
      <w:r w:rsidR="00704BF6" w:rsidRPr="00131DCD">
        <w:rPr>
          <w:rFonts w:ascii="Arial" w:hAnsi="Arial" w:cs="Arial"/>
          <w:sz w:val="24"/>
          <w:szCs w:val="24"/>
        </w:rPr>
        <w:lastRenderedPageBreak/>
        <w:t xml:space="preserve">challenge of a legacy in Norfolk of a high percentage of SEND identification, high permanent exclusion rates and a high % of children being educated in special schools.  </w:t>
      </w:r>
    </w:p>
    <w:p w14:paraId="175C5968" w14:textId="05B761BA" w:rsidR="00704BF6" w:rsidRPr="00131DCD" w:rsidRDefault="00704BF6" w:rsidP="0058442B">
      <w:pPr>
        <w:rPr>
          <w:rFonts w:ascii="Arial" w:hAnsi="Arial" w:cs="Arial"/>
          <w:sz w:val="24"/>
          <w:szCs w:val="24"/>
        </w:rPr>
      </w:pPr>
      <w:r w:rsidRPr="00131DCD">
        <w:rPr>
          <w:rFonts w:ascii="Arial" w:hAnsi="Arial" w:cs="Arial"/>
          <w:sz w:val="24"/>
          <w:szCs w:val="24"/>
        </w:rPr>
        <w:t>The Local Authority does not find the current situation comfortable where the mainstream Norfolk school system will potentially ha</w:t>
      </w:r>
      <w:r w:rsidR="00B93AC0" w:rsidRPr="00131DCD">
        <w:rPr>
          <w:rFonts w:ascii="Arial" w:hAnsi="Arial" w:cs="Arial"/>
          <w:sz w:val="24"/>
          <w:szCs w:val="24"/>
        </w:rPr>
        <w:t>v</w:t>
      </w:r>
      <w:r w:rsidRPr="00131DCD">
        <w:rPr>
          <w:rFonts w:ascii="Arial" w:hAnsi="Arial" w:cs="Arial"/>
          <w:sz w:val="24"/>
          <w:szCs w:val="24"/>
        </w:rPr>
        <w:t>e reduced funding due to historic underfunding of high needs pressures.  However, the Local Authority also has a du</w:t>
      </w:r>
      <w:r w:rsidR="00024C60" w:rsidRPr="00131DCD">
        <w:rPr>
          <w:rFonts w:ascii="Arial" w:hAnsi="Arial" w:cs="Arial"/>
          <w:sz w:val="24"/>
          <w:szCs w:val="24"/>
        </w:rPr>
        <w:t>ty</w:t>
      </w:r>
      <w:r w:rsidRPr="00131DCD">
        <w:rPr>
          <w:rFonts w:ascii="Arial" w:hAnsi="Arial" w:cs="Arial"/>
          <w:sz w:val="24"/>
          <w:szCs w:val="24"/>
        </w:rPr>
        <w:t xml:space="preserve"> to ensure good financial management of the High Needs Block.</w:t>
      </w:r>
    </w:p>
    <w:p w14:paraId="4CDE9890" w14:textId="3F2D4E65" w:rsidR="0058442B" w:rsidRPr="003D2B87" w:rsidRDefault="00704BF6" w:rsidP="0058442B">
      <w:pPr>
        <w:rPr>
          <w:rFonts w:ascii="Arial" w:hAnsi="Arial" w:cs="Arial"/>
          <w:sz w:val="24"/>
          <w:szCs w:val="24"/>
        </w:rPr>
      </w:pPr>
      <w:r w:rsidRPr="00131DCD">
        <w:rPr>
          <w:rFonts w:ascii="Arial" w:hAnsi="Arial" w:cs="Arial"/>
          <w:sz w:val="24"/>
          <w:szCs w:val="24"/>
        </w:rPr>
        <w:t>Therefore, a</w:t>
      </w:r>
      <w:r w:rsidR="0058442B" w:rsidRPr="00131DCD">
        <w:rPr>
          <w:rFonts w:ascii="Arial" w:hAnsi="Arial" w:cs="Arial"/>
          <w:sz w:val="24"/>
          <w:szCs w:val="24"/>
        </w:rPr>
        <w:t xml:space="preserve">s ongoing transfers between the Schools Block and High Needs Block are suggested to expedite recovery of the DSG deficit, </w:t>
      </w:r>
      <w:r w:rsidR="00C609A7" w:rsidRPr="00131DCD">
        <w:rPr>
          <w:rFonts w:ascii="Arial" w:hAnsi="Arial" w:cs="Arial"/>
          <w:sz w:val="24"/>
          <w:szCs w:val="24"/>
        </w:rPr>
        <w:t xml:space="preserve">the Local Authority </w:t>
      </w:r>
      <w:r w:rsidRPr="00131DCD">
        <w:rPr>
          <w:rFonts w:ascii="Arial" w:hAnsi="Arial" w:cs="Arial"/>
          <w:sz w:val="24"/>
          <w:szCs w:val="24"/>
        </w:rPr>
        <w:t xml:space="preserve">is minded </w:t>
      </w:r>
      <w:r w:rsidR="0058442B" w:rsidRPr="00131DCD">
        <w:rPr>
          <w:rFonts w:ascii="Arial" w:hAnsi="Arial" w:cs="Arial"/>
          <w:sz w:val="24"/>
          <w:szCs w:val="24"/>
        </w:rPr>
        <w:t>to submit an application for the movement between blocks to the Department of Education by the 28 November on the following basis:</w:t>
      </w:r>
    </w:p>
    <w:p w14:paraId="128FA57B" w14:textId="77777777" w:rsidR="00C609A7" w:rsidRPr="003D2B87" w:rsidRDefault="00C609A7" w:rsidP="00E2392C">
      <w:pPr>
        <w:pStyle w:val="ListParagraph"/>
        <w:numPr>
          <w:ilvl w:val="0"/>
          <w:numId w:val="10"/>
        </w:numPr>
        <w:spacing w:after="0"/>
        <w:rPr>
          <w:rFonts w:ascii="Arial" w:hAnsi="Arial" w:cs="Arial"/>
          <w:sz w:val="24"/>
          <w:szCs w:val="24"/>
        </w:rPr>
      </w:pPr>
      <w:r w:rsidRPr="003D2B87">
        <w:rPr>
          <w:rFonts w:ascii="Arial" w:hAnsi="Arial" w:cs="Arial"/>
          <w:sz w:val="24"/>
          <w:szCs w:val="24"/>
        </w:rPr>
        <w:t>Continue with the</w:t>
      </w:r>
      <w:r w:rsidR="0058442B" w:rsidRPr="003D2B87">
        <w:rPr>
          <w:rFonts w:ascii="Arial" w:hAnsi="Arial" w:cs="Arial"/>
          <w:sz w:val="24"/>
          <w:szCs w:val="24"/>
        </w:rPr>
        <w:t xml:space="preserve"> 0.5% (£2.481m) Schools Block transfer at individual school level.  </w:t>
      </w:r>
      <w:r w:rsidR="00E2392C" w:rsidRPr="003D2B87">
        <w:rPr>
          <w:rFonts w:ascii="Arial" w:hAnsi="Arial" w:cs="Arial"/>
          <w:sz w:val="24"/>
          <w:szCs w:val="24"/>
        </w:rPr>
        <w:t>A transfer of 0.5% will require a vote of Members of the Schools’ Forum.</w:t>
      </w:r>
    </w:p>
    <w:p w14:paraId="2BCC1901" w14:textId="77777777" w:rsidR="0058442B" w:rsidRPr="003D2B87" w:rsidRDefault="00C609A7" w:rsidP="00C609A7">
      <w:pPr>
        <w:pStyle w:val="ListParagraph"/>
        <w:numPr>
          <w:ilvl w:val="0"/>
          <w:numId w:val="8"/>
        </w:numPr>
        <w:rPr>
          <w:rFonts w:ascii="Arial" w:hAnsi="Arial" w:cs="Arial"/>
          <w:sz w:val="24"/>
          <w:szCs w:val="24"/>
        </w:rPr>
      </w:pPr>
      <w:r w:rsidRPr="003D2B87">
        <w:rPr>
          <w:rFonts w:ascii="Arial" w:hAnsi="Arial" w:cs="Arial"/>
          <w:sz w:val="24"/>
          <w:szCs w:val="24"/>
        </w:rPr>
        <w:t>A f</w:t>
      </w:r>
      <w:r w:rsidR="0058442B" w:rsidRPr="003D2B87">
        <w:rPr>
          <w:rFonts w:ascii="Arial" w:hAnsi="Arial" w:cs="Arial"/>
          <w:sz w:val="24"/>
          <w:szCs w:val="24"/>
        </w:rPr>
        <w:t>urther transfer of £2.5m as a high-level estimate of the amount required to recover the DSG deficit within the next 3 years (reduced from £4.58m in 2019/20).</w:t>
      </w:r>
    </w:p>
    <w:p w14:paraId="4FE8137A" w14:textId="77777777" w:rsidR="0058442B" w:rsidRPr="003D2B87" w:rsidRDefault="0058442B" w:rsidP="0058442B">
      <w:pPr>
        <w:spacing w:after="0"/>
        <w:rPr>
          <w:rFonts w:ascii="Arial" w:hAnsi="Arial" w:cs="Arial"/>
          <w:sz w:val="24"/>
          <w:szCs w:val="24"/>
        </w:rPr>
      </w:pPr>
      <w:r w:rsidRPr="003D2B87">
        <w:rPr>
          <w:rFonts w:ascii="Arial" w:hAnsi="Arial" w:cs="Arial"/>
          <w:sz w:val="24"/>
          <w:szCs w:val="24"/>
        </w:rPr>
        <w:t>Any further transfer requires consultation with Schools’ Forum, but the decision rests with the Secretary of State.  The Local Authority is required to submit a full business case in the form of a ‘disapplication request’ by the 28</w:t>
      </w:r>
      <w:r w:rsidRPr="003D2B87">
        <w:rPr>
          <w:rFonts w:ascii="Arial" w:hAnsi="Arial" w:cs="Arial"/>
          <w:sz w:val="24"/>
          <w:szCs w:val="24"/>
          <w:vertAlign w:val="superscript"/>
        </w:rPr>
        <w:t>th</w:t>
      </w:r>
      <w:r w:rsidRPr="003D2B87">
        <w:rPr>
          <w:rFonts w:ascii="Arial" w:hAnsi="Arial" w:cs="Arial"/>
          <w:sz w:val="24"/>
          <w:szCs w:val="24"/>
        </w:rPr>
        <w:t xml:space="preserve"> November 2019 if the LA requires a decision of the Secretary of State for either: </w:t>
      </w:r>
    </w:p>
    <w:p w14:paraId="1540208A" w14:textId="77777777" w:rsidR="00C609A7" w:rsidRPr="003D2B87" w:rsidRDefault="00C609A7" w:rsidP="0058442B">
      <w:pPr>
        <w:spacing w:after="0"/>
        <w:rPr>
          <w:rFonts w:ascii="Arial" w:hAnsi="Arial" w:cs="Arial"/>
          <w:sz w:val="24"/>
          <w:szCs w:val="24"/>
        </w:rPr>
      </w:pPr>
    </w:p>
    <w:p w14:paraId="582D1337" w14:textId="77777777" w:rsidR="0058442B" w:rsidRPr="003D2B87" w:rsidRDefault="0058442B" w:rsidP="0058442B">
      <w:pPr>
        <w:pStyle w:val="ListParagraph"/>
        <w:numPr>
          <w:ilvl w:val="0"/>
          <w:numId w:val="6"/>
        </w:numPr>
        <w:rPr>
          <w:rFonts w:ascii="Arial" w:hAnsi="Arial" w:cs="Arial"/>
          <w:sz w:val="24"/>
          <w:szCs w:val="24"/>
        </w:rPr>
      </w:pPr>
      <w:r w:rsidRPr="003D2B87">
        <w:rPr>
          <w:rFonts w:ascii="Arial" w:hAnsi="Arial" w:cs="Arial"/>
          <w:sz w:val="24"/>
          <w:szCs w:val="24"/>
        </w:rPr>
        <w:t xml:space="preserve">a block transfer above 0.5% where the Forum has supported a 0.5% transfer; or, </w:t>
      </w:r>
    </w:p>
    <w:p w14:paraId="544710F4" w14:textId="77777777" w:rsidR="0058442B" w:rsidRPr="003D2B87" w:rsidRDefault="0058442B" w:rsidP="0058442B">
      <w:pPr>
        <w:pStyle w:val="ListParagraph"/>
        <w:numPr>
          <w:ilvl w:val="0"/>
          <w:numId w:val="6"/>
        </w:numPr>
        <w:rPr>
          <w:rFonts w:ascii="Arial" w:hAnsi="Arial" w:cs="Arial"/>
          <w:sz w:val="24"/>
          <w:szCs w:val="24"/>
        </w:rPr>
      </w:pPr>
      <w:r w:rsidRPr="003D2B87">
        <w:rPr>
          <w:rFonts w:ascii="Arial" w:hAnsi="Arial" w:cs="Arial"/>
          <w:sz w:val="24"/>
          <w:szCs w:val="24"/>
        </w:rPr>
        <w:t>any block transfer not supported by the Forum.</w:t>
      </w:r>
    </w:p>
    <w:p w14:paraId="456230AA" w14:textId="77777777" w:rsidR="0058442B" w:rsidRPr="003D2B87" w:rsidRDefault="0058442B" w:rsidP="008B2F7E">
      <w:pPr>
        <w:rPr>
          <w:rFonts w:ascii="Arial" w:hAnsi="Arial" w:cs="Arial"/>
          <w:sz w:val="24"/>
          <w:szCs w:val="24"/>
        </w:rPr>
      </w:pPr>
    </w:p>
    <w:p w14:paraId="62F1C34C" w14:textId="77777777" w:rsidR="00AA4070" w:rsidRPr="003D2B87" w:rsidRDefault="00AA4070" w:rsidP="00AA4070">
      <w:pPr>
        <w:rPr>
          <w:rFonts w:ascii="Arial" w:hAnsi="Arial" w:cs="Arial"/>
          <w:b/>
          <w:sz w:val="24"/>
          <w:szCs w:val="24"/>
          <w:u w:val="single"/>
        </w:rPr>
      </w:pPr>
      <w:r w:rsidRPr="003D2B87">
        <w:rPr>
          <w:rFonts w:ascii="Arial" w:hAnsi="Arial" w:cs="Arial"/>
          <w:b/>
          <w:sz w:val="24"/>
          <w:szCs w:val="24"/>
          <w:u w:val="single"/>
        </w:rPr>
        <w:t>Funding Formula Options 20</w:t>
      </w:r>
      <w:r w:rsidR="00D12A4A" w:rsidRPr="003D2B87">
        <w:rPr>
          <w:rFonts w:ascii="Arial" w:hAnsi="Arial" w:cs="Arial"/>
          <w:b/>
          <w:sz w:val="24"/>
          <w:szCs w:val="24"/>
          <w:u w:val="single"/>
        </w:rPr>
        <w:t>20</w:t>
      </w:r>
      <w:r w:rsidRPr="003D2B87">
        <w:rPr>
          <w:rFonts w:ascii="Arial" w:hAnsi="Arial" w:cs="Arial"/>
          <w:b/>
          <w:sz w:val="24"/>
          <w:szCs w:val="24"/>
          <w:u w:val="single"/>
        </w:rPr>
        <w:t>/2</w:t>
      </w:r>
      <w:r w:rsidR="00D12A4A" w:rsidRPr="003D2B87">
        <w:rPr>
          <w:rFonts w:ascii="Arial" w:hAnsi="Arial" w:cs="Arial"/>
          <w:b/>
          <w:sz w:val="24"/>
          <w:szCs w:val="24"/>
          <w:u w:val="single"/>
        </w:rPr>
        <w:t>1</w:t>
      </w:r>
    </w:p>
    <w:p w14:paraId="6FDE16C5" w14:textId="77777777" w:rsidR="00AA4070" w:rsidRPr="003D2B87" w:rsidRDefault="00AA4070" w:rsidP="00AA4070">
      <w:pPr>
        <w:rPr>
          <w:rFonts w:ascii="Arial" w:hAnsi="Arial" w:cs="Arial"/>
          <w:sz w:val="24"/>
          <w:szCs w:val="24"/>
          <w:u w:val="single"/>
        </w:rPr>
      </w:pPr>
      <w:r w:rsidRPr="003D2B87">
        <w:rPr>
          <w:rFonts w:ascii="Arial" w:hAnsi="Arial" w:cs="Arial"/>
          <w:sz w:val="24"/>
          <w:szCs w:val="24"/>
          <w:u w:val="single"/>
        </w:rPr>
        <w:t>Summary of Options</w:t>
      </w:r>
    </w:p>
    <w:p w14:paraId="361C6D71" w14:textId="77777777" w:rsidR="00AA4070" w:rsidRPr="003D2B87" w:rsidRDefault="00AA4070" w:rsidP="00AA4070">
      <w:pPr>
        <w:rPr>
          <w:rFonts w:ascii="Arial" w:hAnsi="Arial" w:cs="Arial"/>
          <w:sz w:val="24"/>
          <w:szCs w:val="24"/>
        </w:rPr>
      </w:pPr>
      <w:r w:rsidRPr="003D2B87">
        <w:rPr>
          <w:rFonts w:ascii="Arial" w:hAnsi="Arial" w:cs="Arial"/>
          <w:sz w:val="24"/>
          <w:szCs w:val="24"/>
        </w:rPr>
        <w:t>A summary of the different options for funding schools in 20</w:t>
      </w:r>
      <w:r w:rsidR="00C609A7" w:rsidRPr="003D2B87">
        <w:rPr>
          <w:rFonts w:ascii="Arial" w:hAnsi="Arial" w:cs="Arial"/>
          <w:sz w:val="24"/>
          <w:szCs w:val="24"/>
        </w:rPr>
        <w:t>20</w:t>
      </w:r>
      <w:r w:rsidRPr="003D2B87">
        <w:rPr>
          <w:rFonts w:ascii="Arial" w:hAnsi="Arial" w:cs="Arial"/>
          <w:sz w:val="24"/>
          <w:szCs w:val="24"/>
        </w:rPr>
        <w:t>/2</w:t>
      </w:r>
      <w:r w:rsidR="00C609A7" w:rsidRPr="003D2B87">
        <w:rPr>
          <w:rFonts w:ascii="Arial" w:hAnsi="Arial" w:cs="Arial"/>
          <w:sz w:val="24"/>
          <w:szCs w:val="24"/>
        </w:rPr>
        <w:t>1</w:t>
      </w:r>
      <w:r w:rsidRPr="003D2B87">
        <w:rPr>
          <w:rFonts w:ascii="Arial" w:hAnsi="Arial" w:cs="Arial"/>
          <w:sz w:val="24"/>
          <w:szCs w:val="24"/>
        </w:rPr>
        <w:t xml:space="preserve"> is given in the table below, followed by more detailed written explanations.</w:t>
      </w:r>
    </w:p>
    <w:p w14:paraId="7B9F54D9" w14:textId="3A7B0E83" w:rsidR="00AA4070" w:rsidRPr="003D2B87" w:rsidRDefault="00AA4070" w:rsidP="00AA4070">
      <w:pPr>
        <w:rPr>
          <w:rFonts w:ascii="Arial" w:hAnsi="Arial" w:cs="Arial"/>
          <w:sz w:val="24"/>
          <w:szCs w:val="24"/>
        </w:rPr>
      </w:pPr>
      <w:r w:rsidRPr="003D2B87">
        <w:rPr>
          <w:rFonts w:ascii="Arial" w:hAnsi="Arial" w:cs="Arial"/>
          <w:sz w:val="24"/>
          <w:szCs w:val="24"/>
        </w:rPr>
        <w:t>Please note:  All modelling is based on October 201</w:t>
      </w:r>
      <w:r w:rsidR="00C609A7" w:rsidRPr="003D2B87">
        <w:rPr>
          <w:rFonts w:ascii="Arial" w:hAnsi="Arial" w:cs="Arial"/>
          <w:sz w:val="24"/>
          <w:szCs w:val="24"/>
        </w:rPr>
        <w:t>8</w:t>
      </w:r>
      <w:r w:rsidRPr="003D2B87">
        <w:rPr>
          <w:rFonts w:ascii="Arial" w:hAnsi="Arial" w:cs="Arial"/>
          <w:sz w:val="24"/>
          <w:szCs w:val="24"/>
        </w:rPr>
        <w:t xml:space="preserve"> </w:t>
      </w:r>
      <w:r w:rsidR="00131DCD" w:rsidRPr="003D2B87">
        <w:rPr>
          <w:rFonts w:ascii="Arial" w:hAnsi="Arial" w:cs="Arial"/>
          <w:sz w:val="24"/>
          <w:szCs w:val="24"/>
        </w:rPr>
        <w:t>data;</w:t>
      </w:r>
      <w:r w:rsidRPr="003D2B87">
        <w:rPr>
          <w:rFonts w:ascii="Arial" w:hAnsi="Arial" w:cs="Arial"/>
          <w:sz w:val="24"/>
          <w:szCs w:val="24"/>
        </w:rPr>
        <w:t xml:space="preserve"> actual budgets will be issued using October 201</w:t>
      </w:r>
      <w:r w:rsidR="00261FED" w:rsidRPr="003D2B87">
        <w:rPr>
          <w:rFonts w:ascii="Arial" w:hAnsi="Arial" w:cs="Arial"/>
          <w:sz w:val="24"/>
          <w:szCs w:val="24"/>
        </w:rPr>
        <w:t>9</w:t>
      </w:r>
      <w:r w:rsidRPr="003D2B87">
        <w:rPr>
          <w:rFonts w:ascii="Arial" w:hAnsi="Arial" w:cs="Arial"/>
          <w:sz w:val="24"/>
          <w:szCs w:val="24"/>
        </w:rPr>
        <w:t xml:space="preserve"> census data and may change significantly if the number of pupils differs.</w:t>
      </w:r>
    </w:p>
    <w:p w14:paraId="2A871001" w14:textId="5525E7C2" w:rsidR="00131DCD" w:rsidRDefault="00AA4070" w:rsidP="00AA4070">
      <w:pPr>
        <w:rPr>
          <w:rFonts w:ascii="Arial" w:hAnsi="Arial" w:cs="Arial"/>
          <w:sz w:val="24"/>
          <w:szCs w:val="24"/>
        </w:rPr>
      </w:pPr>
      <w:r w:rsidRPr="003D2B87">
        <w:rPr>
          <w:rFonts w:ascii="Arial" w:hAnsi="Arial" w:cs="Arial"/>
          <w:sz w:val="24"/>
          <w:szCs w:val="24"/>
        </w:rPr>
        <w:t>For individual school detail, please refer to the detailed technical papers</w:t>
      </w:r>
      <w:r w:rsidR="00261FED" w:rsidRPr="003D2B87">
        <w:rPr>
          <w:rFonts w:ascii="Arial" w:hAnsi="Arial" w:cs="Arial"/>
          <w:sz w:val="24"/>
          <w:szCs w:val="24"/>
        </w:rPr>
        <w:t xml:space="preserve"> that were issued</w:t>
      </w:r>
      <w:r w:rsidRPr="003D2B87">
        <w:rPr>
          <w:rFonts w:ascii="Arial" w:hAnsi="Arial" w:cs="Arial"/>
          <w:sz w:val="24"/>
          <w:szCs w:val="24"/>
        </w:rPr>
        <w:t xml:space="preserve"> alongside this consultation. </w:t>
      </w:r>
    </w:p>
    <w:p w14:paraId="2A38DB37" w14:textId="77777777" w:rsidR="00131DCD" w:rsidRDefault="00131DCD">
      <w:pPr>
        <w:rPr>
          <w:rFonts w:ascii="Arial" w:hAnsi="Arial" w:cs="Arial"/>
          <w:sz w:val="24"/>
          <w:szCs w:val="24"/>
        </w:rPr>
      </w:pPr>
      <w:r>
        <w:rPr>
          <w:rFonts w:ascii="Arial" w:hAnsi="Arial" w:cs="Arial"/>
          <w:sz w:val="24"/>
          <w:szCs w:val="24"/>
        </w:rPr>
        <w:br w:type="page"/>
      </w:r>
    </w:p>
    <w:tbl>
      <w:tblPr>
        <w:tblW w:w="7008" w:type="dxa"/>
        <w:tblInd w:w="-20" w:type="dxa"/>
        <w:tblLook w:val="04A0" w:firstRow="1" w:lastRow="0" w:firstColumn="1" w:lastColumn="0" w:noHBand="0" w:noVBand="1"/>
      </w:tblPr>
      <w:tblGrid>
        <w:gridCol w:w="2282"/>
        <w:gridCol w:w="1521"/>
        <w:gridCol w:w="1521"/>
        <w:gridCol w:w="1684"/>
      </w:tblGrid>
      <w:tr w:rsidR="00261FED" w:rsidRPr="003D2B87" w14:paraId="1E91087E" w14:textId="77777777" w:rsidTr="00261FED">
        <w:trPr>
          <w:trHeight w:val="307"/>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1C1C5"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lastRenderedPageBreak/>
              <w:t> </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3B0393A2"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Option 1</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13438B5D"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Option 2</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14:paraId="21463CA3"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Option 3</w:t>
            </w:r>
          </w:p>
        </w:tc>
      </w:tr>
      <w:tr w:rsidR="00261FED" w:rsidRPr="003D2B87" w14:paraId="54DA0728" w14:textId="77777777" w:rsidTr="00261FED">
        <w:trPr>
          <w:trHeight w:val="307"/>
        </w:trPr>
        <w:tc>
          <w:tcPr>
            <w:tcW w:w="2282" w:type="dxa"/>
            <w:tcBorders>
              <w:top w:val="nil"/>
              <w:left w:val="single" w:sz="4" w:space="0" w:color="auto"/>
              <w:bottom w:val="single" w:sz="4" w:space="0" w:color="auto"/>
              <w:right w:val="single" w:sz="4" w:space="0" w:color="auto"/>
            </w:tcBorders>
            <w:shd w:val="clear" w:color="auto" w:fill="auto"/>
            <w:vAlign w:val="center"/>
            <w:hideMark/>
          </w:tcPr>
          <w:p w14:paraId="3CFF83FE"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 </w:t>
            </w:r>
          </w:p>
        </w:tc>
        <w:tc>
          <w:tcPr>
            <w:tcW w:w="1521" w:type="dxa"/>
            <w:tcBorders>
              <w:top w:val="nil"/>
              <w:left w:val="nil"/>
              <w:bottom w:val="single" w:sz="4" w:space="0" w:color="auto"/>
              <w:right w:val="single" w:sz="4" w:space="0" w:color="auto"/>
            </w:tcBorders>
            <w:shd w:val="clear" w:color="auto" w:fill="auto"/>
            <w:noWrap/>
            <w:vAlign w:val="bottom"/>
            <w:hideMark/>
          </w:tcPr>
          <w:p w14:paraId="31778649"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NFF</w:t>
            </w:r>
          </w:p>
        </w:tc>
        <w:tc>
          <w:tcPr>
            <w:tcW w:w="1521" w:type="dxa"/>
            <w:tcBorders>
              <w:top w:val="nil"/>
              <w:left w:val="nil"/>
              <w:bottom w:val="single" w:sz="4" w:space="0" w:color="auto"/>
              <w:right w:val="single" w:sz="4" w:space="0" w:color="auto"/>
            </w:tcBorders>
            <w:shd w:val="clear" w:color="auto" w:fill="auto"/>
            <w:noWrap/>
            <w:vAlign w:val="bottom"/>
            <w:hideMark/>
          </w:tcPr>
          <w:p w14:paraId="51675E48"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NFF</w:t>
            </w:r>
          </w:p>
        </w:tc>
        <w:tc>
          <w:tcPr>
            <w:tcW w:w="1684" w:type="dxa"/>
            <w:tcBorders>
              <w:top w:val="nil"/>
              <w:left w:val="nil"/>
              <w:bottom w:val="single" w:sz="4" w:space="0" w:color="auto"/>
              <w:right w:val="single" w:sz="4" w:space="0" w:color="auto"/>
            </w:tcBorders>
            <w:shd w:val="clear" w:color="auto" w:fill="auto"/>
            <w:noWrap/>
            <w:vAlign w:val="bottom"/>
            <w:hideMark/>
          </w:tcPr>
          <w:p w14:paraId="0598E01A"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NFF</w:t>
            </w:r>
          </w:p>
        </w:tc>
      </w:tr>
      <w:tr w:rsidR="00261FED" w:rsidRPr="003D2B87" w14:paraId="56425FC9" w14:textId="77777777" w:rsidTr="00261FED">
        <w:trPr>
          <w:trHeight w:val="307"/>
        </w:trPr>
        <w:tc>
          <w:tcPr>
            <w:tcW w:w="2282" w:type="dxa"/>
            <w:tcBorders>
              <w:top w:val="nil"/>
              <w:left w:val="single" w:sz="4" w:space="0" w:color="auto"/>
              <w:bottom w:val="single" w:sz="4" w:space="0" w:color="auto"/>
              <w:right w:val="single" w:sz="4" w:space="0" w:color="auto"/>
            </w:tcBorders>
            <w:shd w:val="clear" w:color="auto" w:fill="auto"/>
            <w:vAlign w:val="center"/>
            <w:hideMark/>
          </w:tcPr>
          <w:p w14:paraId="4B516ED5"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 </w:t>
            </w:r>
          </w:p>
        </w:tc>
        <w:tc>
          <w:tcPr>
            <w:tcW w:w="1521" w:type="dxa"/>
            <w:tcBorders>
              <w:top w:val="nil"/>
              <w:left w:val="nil"/>
              <w:bottom w:val="single" w:sz="4" w:space="0" w:color="auto"/>
              <w:right w:val="single" w:sz="4" w:space="0" w:color="auto"/>
            </w:tcBorders>
            <w:shd w:val="clear" w:color="auto" w:fill="auto"/>
            <w:noWrap/>
            <w:vAlign w:val="bottom"/>
            <w:hideMark/>
          </w:tcPr>
          <w:p w14:paraId="0E15D166"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2020/21</w:t>
            </w:r>
          </w:p>
        </w:tc>
        <w:tc>
          <w:tcPr>
            <w:tcW w:w="1521" w:type="dxa"/>
            <w:tcBorders>
              <w:top w:val="nil"/>
              <w:left w:val="nil"/>
              <w:bottom w:val="single" w:sz="4" w:space="0" w:color="auto"/>
              <w:right w:val="single" w:sz="4" w:space="0" w:color="auto"/>
            </w:tcBorders>
            <w:shd w:val="clear" w:color="auto" w:fill="auto"/>
            <w:noWrap/>
            <w:vAlign w:val="bottom"/>
            <w:hideMark/>
          </w:tcPr>
          <w:p w14:paraId="760EFEBB"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2020/21</w:t>
            </w:r>
          </w:p>
        </w:tc>
        <w:tc>
          <w:tcPr>
            <w:tcW w:w="1684" w:type="dxa"/>
            <w:tcBorders>
              <w:top w:val="nil"/>
              <w:left w:val="nil"/>
              <w:bottom w:val="single" w:sz="4" w:space="0" w:color="auto"/>
              <w:right w:val="single" w:sz="4" w:space="0" w:color="auto"/>
            </w:tcBorders>
            <w:shd w:val="clear" w:color="auto" w:fill="auto"/>
            <w:noWrap/>
            <w:vAlign w:val="bottom"/>
            <w:hideMark/>
          </w:tcPr>
          <w:p w14:paraId="384F537B"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2020/21</w:t>
            </w:r>
          </w:p>
        </w:tc>
      </w:tr>
      <w:tr w:rsidR="00261FED" w:rsidRPr="003D2B87" w14:paraId="71FA7985" w14:textId="77777777" w:rsidTr="00261FED">
        <w:trPr>
          <w:trHeight w:val="1150"/>
        </w:trPr>
        <w:tc>
          <w:tcPr>
            <w:tcW w:w="2282" w:type="dxa"/>
            <w:tcBorders>
              <w:top w:val="nil"/>
              <w:left w:val="single" w:sz="4" w:space="0" w:color="auto"/>
              <w:bottom w:val="single" w:sz="4" w:space="0" w:color="auto"/>
              <w:right w:val="single" w:sz="4" w:space="0" w:color="auto"/>
            </w:tcBorders>
            <w:shd w:val="clear" w:color="auto" w:fill="auto"/>
            <w:vAlign w:val="center"/>
            <w:hideMark/>
          </w:tcPr>
          <w:p w14:paraId="4B619482"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Additional £2.5 m moved to High Needs Block</w:t>
            </w:r>
          </w:p>
        </w:tc>
        <w:tc>
          <w:tcPr>
            <w:tcW w:w="1521" w:type="dxa"/>
            <w:tcBorders>
              <w:top w:val="nil"/>
              <w:left w:val="nil"/>
              <w:bottom w:val="single" w:sz="4" w:space="0" w:color="auto"/>
              <w:right w:val="single" w:sz="4" w:space="0" w:color="auto"/>
            </w:tcBorders>
            <w:shd w:val="clear" w:color="auto" w:fill="auto"/>
            <w:vAlign w:val="center"/>
            <w:hideMark/>
          </w:tcPr>
          <w:p w14:paraId="798B2E0B" w14:textId="77777777" w:rsidR="00261FED" w:rsidRPr="003D2B87" w:rsidRDefault="00261FED" w:rsidP="0058442B">
            <w:pPr>
              <w:spacing w:after="0" w:line="240" w:lineRule="auto"/>
              <w:jc w:val="center"/>
              <w:rPr>
                <w:rFonts w:ascii="Wingdings" w:eastAsia="Times New Roman" w:hAnsi="Wingdings" w:cs="Calibri"/>
                <w:b/>
                <w:bCs/>
                <w:color w:val="000000"/>
                <w:sz w:val="32"/>
                <w:szCs w:val="32"/>
                <w:lang w:eastAsia="en-GB"/>
              </w:rPr>
            </w:pPr>
            <w:r w:rsidRPr="003D2B87">
              <w:rPr>
                <w:rFonts w:ascii="Wingdings" w:eastAsia="Times New Roman" w:hAnsi="Wingdings" w:cs="Calibri"/>
                <w:b/>
                <w:bCs/>
                <w:color w:val="000000"/>
                <w:sz w:val="32"/>
                <w:szCs w:val="32"/>
                <w:lang w:eastAsia="en-GB"/>
              </w:rPr>
              <w:t></w:t>
            </w:r>
          </w:p>
        </w:tc>
        <w:tc>
          <w:tcPr>
            <w:tcW w:w="1521" w:type="dxa"/>
            <w:tcBorders>
              <w:top w:val="nil"/>
              <w:left w:val="nil"/>
              <w:bottom w:val="single" w:sz="4" w:space="0" w:color="auto"/>
              <w:right w:val="single" w:sz="4" w:space="0" w:color="auto"/>
            </w:tcBorders>
            <w:shd w:val="clear" w:color="auto" w:fill="auto"/>
            <w:vAlign w:val="center"/>
            <w:hideMark/>
          </w:tcPr>
          <w:p w14:paraId="6B724EA2" w14:textId="77777777" w:rsidR="00261FED" w:rsidRPr="003D2B87" w:rsidRDefault="00261FED" w:rsidP="0058442B">
            <w:pPr>
              <w:spacing w:after="0" w:line="240" w:lineRule="auto"/>
              <w:jc w:val="center"/>
              <w:rPr>
                <w:rFonts w:ascii="Wingdings" w:eastAsia="Times New Roman" w:hAnsi="Wingdings" w:cs="Calibri"/>
                <w:b/>
                <w:bCs/>
                <w:color w:val="000000"/>
                <w:sz w:val="32"/>
                <w:szCs w:val="32"/>
                <w:lang w:eastAsia="en-GB"/>
              </w:rPr>
            </w:pPr>
            <w:r w:rsidRPr="003D2B87">
              <w:rPr>
                <w:rFonts w:ascii="Wingdings" w:eastAsia="Times New Roman" w:hAnsi="Wingdings" w:cs="Calibri"/>
                <w:b/>
                <w:bCs/>
                <w:color w:val="000000"/>
                <w:sz w:val="32"/>
                <w:szCs w:val="32"/>
                <w:lang w:eastAsia="en-GB"/>
              </w:rPr>
              <w:t></w:t>
            </w:r>
          </w:p>
        </w:tc>
        <w:tc>
          <w:tcPr>
            <w:tcW w:w="1684" w:type="dxa"/>
            <w:tcBorders>
              <w:top w:val="nil"/>
              <w:left w:val="nil"/>
              <w:bottom w:val="single" w:sz="4" w:space="0" w:color="auto"/>
              <w:right w:val="single" w:sz="4" w:space="0" w:color="auto"/>
            </w:tcBorders>
            <w:shd w:val="clear" w:color="auto" w:fill="auto"/>
            <w:vAlign w:val="center"/>
            <w:hideMark/>
          </w:tcPr>
          <w:p w14:paraId="1B3F99C2" w14:textId="77777777" w:rsidR="00261FED" w:rsidRPr="003D2B87" w:rsidRDefault="000C6A75" w:rsidP="0058442B">
            <w:pPr>
              <w:spacing w:after="0" w:line="240" w:lineRule="auto"/>
              <w:jc w:val="center"/>
              <w:rPr>
                <w:rFonts w:ascii="Wingdings" w:eastAsia="Times New Roman" w:hAnsi="Wingdings" w:cs="Calibri"/>
                <w:b/>
                <w:bCs/>
                <w:color w:val="000000"/>
                <w:sz w:val="32"/>
                <w:szCs w:val="32"/>
                <w:lang w:eastAsia="en-GB"/>
              </w:rPr>
            </w:pPr>
            <w:r w:rsidRPr="003D2B87">
              <w:rPr>
                <w:rFonts w:ascii="Wingdings" w:eastAsia="Times New Roman" w:hAnsi="Wingdings" w:cs="Calibri"/>
                <w:b/>
                <w:bCs/>
                <w:color w:val="000000"/>
                <w:sz w:val="32"/>
                <w:szCs w:val="32"/>
                <w:lang w:eastAsia="en-GB"/>
              </w:rPr>
              <w:t></w:t>
            </w:r>
          </w:p>
        </w:tc>
      </w:tr>
      <w:tr w:rsidR="00261FED" w:rsidRPr="003D2B87" w14:paraId="6C589B20" w14:textId="77777777" w:rsidTr="00261FED">
        <w:trPr>
          <w:trHeight w:val="1150"/>
        </w:trPr>
        <w:tc>
          <w:tcPr>
            <w:tcW w:w="2282" w:type="dxa"/>
            <w:tcBorders>
              <w:top w:val="nil"/>
              <w:left w:val="single" w:sz="4" w:space="0" w:color="auto"/>
              <w:bottom w:val="single" w:sz="4" w:space="0" w:color="auto"/>
              <w:right w:val="single" w:sz="4" w:space="0" w:color="auto"/>
            </w:tcBorders>
            <w:shd w:val="clear" w:color="auto" w:fill="auto"/>
            <w:vAlign w:val="center"/>
            <w:hideMark/>
          </w:tcPr>
          <w:p w14:paraId="3114DF8C"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0.5% of Schools Block moved to High Needs Block</w:t>
            </w:r>
          </w:p>
        </w:tc>
        <w:tc>
          <w:tcPr>
            <w:tcW w:w="1521" w:type="dxa"/>
            <w:tcBorders>
              <w:top w:val="nil"/>
              <w:left w:val="nil"/>
              <w:bottom w:val="single" w:sz="4" w:space="0" w:color="auto"/>
              <w:right w:val="single" w:sz="4" w:space="0" w:color="auto"/>
            </w:tcBorders>
            <w:shd w:val="clear" w:color="auto" w:fill="auto"/>
            <w:vAlign w:val="center"/>
            <w:hideMark/>
          </w:tcPr>
          <w:p w14:paraId="08D0DDFF" w14:textId="77777777" w:rsidR="00261FED" w:rsidRPr="003D2B87" w:rsidRDefault="00261FED" w:rsidP="0058442B">
            <w:pPr>
              <w:spacing w:after="0" w:line="240" w:lineRule="auto"/>
              <w:jc w:val="center"/>
              <w:rPr>
                <w:rFonts w:ascii="Wingdings" w:eastAsia="Times New Roman" w:hAnsi="Wingdings" w:cs="Calibri"/>
                <w:b/>
                <w:bCs/>
                <w:color w:val="000000"/>
                <w:sz w:val="32"/>
                <w:szCs w:val="32"/>
                <w:lang w:eastAsia="en-GB"/>
              </w:rPr>
            </w:pPr>
            <w:r w:rsidRPr="003D2B87">
              <w:rPr>
                <w:rFonts w:ascii="Wingdings" w:eastAsia="Times New Roman" w:hAnsi="Wingdings" w:cs="Calibri"/>
                <w:b/>
                <w:bCs/>
                <w:color w:val="000000"/>
                <w:sz w:val="32"/>
                <w:szCs w:val="32"/>
                <w:lang w:eastAsia="en-GB"/>
              </w:rPr>
              <w:t></w:t>
            </w:r>
          </w:p>
        </w:tc>
        <w:tc>
          <w:tcPr>
            <w:tcW w:w="1521" w:type="dxa"/>
            <w:tcBorders>
              <w:top w:val="nil"/>
              <w:left w:val="nil"/>
              <w:bottom w:val="single" w:sz="4" w:space="0" w:color="auto"/>
              <w:right w:val="single" w:sz="4" w:space="0" w:color="auto"/>
            </w:tcBorders>
            <w:shd w:val="clear" w:color="auto" w:fill="auto"/>
            <w:vAlign w:val="center"/>
            <w:hideMark/>
          </w:tcPr>
          <w:p w14:paraId="4FE134D6" w14:textId="77777777" w:rsidR="00261FED" w:rsidRPr="003D2B87" w:rsidRDefault="00261FED" w:rsidP="0058442B">
            <w:pPr>
              <w:spacing w:after="0" w:line="240" w:lineRule="auto"/>
              <w:jc w:val="center"/>
              <w:rPr>
                <w:rFonts w:ascii="Wingdings" w:eastAsia="Times New Roman" w:hAnsi="Wingdings" w:cs="Calibri"/>
                <w:b/>
                <w:bCs/>
                <w:color w:val="000000"/>
                <w:sz w:val="32"/>
                <w:szCs w:val="32"/>
                <w:lang w:eastAsia="en-GB"/>
              </w:rPr>
            </w:pPr>
            <w:r w:rsidRPr="003D2B87">
              <w:rPr>
                <w:rFonts w:ascii="Wingdings" w:eastAsia="Times New Roman" w:hAnsi="Wingdings" w:cs="Calibri"/>
                <w:b/>
                <w:bCs/>
                <w:color w:val="000000"/>
                <w:sz w:val="32"/>
                <w:szCs w:val="32"/>
                <w:lang w:eastAsia="en-GB"/>
              </w:rPr>
              <w:t></w:t>
            </w:r>
          </w:p>
        </w:tc>
        <w:tc>
          <w:tcPr>
            <w:tcW w:w="1684" w:type="dxa"/>
            <w:tcBorders>
              <w:top w:val="nil"/>
              <w:left w:val="nil"/>
              <w:bottom w:val="single" w:sz="4" w:space="0" w:color="auto"/>
              <w:right w:val="single" w:sz="4" w:space="0" w:color="auto"/>
            </w:tcBorders>
            <w:shd w:val="clear" w:color="auto" w:fill="auto"/>
            <w:vAlign w:val="center"/>
            <w:hideMark/>
          </w:tcPr>
          <w:p w14:paraId="0DB4CE3C" w14:textId="77777777" w:rsidR="00261FED" w:rsidRPr="003D2B87" w:rsidRDefault="000C6A75" w:rsidP="0058442B">
            <w:pPr>
              <w:spacing w:after="0" w:line="240" w:lineRule="auto"/>
              <w:jc w:val="center"/>
              <w:rPr>
                <w:rFonts w:ascii="Wingdings" w:eastAsia="Times New Roman" w:hAnsi="Wingdings" w:cs="Calibri"/>
                <w:b/>
                <w:bCs/>
                <w:color w:val="000000"/>
                <w:sz w:val="32"/>
                <w:szCs w:val="32"/>
                <w:lang w:eastAsia="en-GB"/>
              </w:rPr>
            </w:pPr>
            <w:r w:rsidRPr="003D2B87">
              <w:rPr>
                <w:rFonts w:ascii="Wingdings" w:eastAsia="Times New Roman" w:hAnsi="Wingdings" w:cs="Calibri"/>
                <w:b/>
                <w:bCs/>
                <w:color w:val="000000"/>
                <w:sz w:val="32"/>
                <w:szCs w:val="32"/>
                <w:lang w:eastAsia="en-GB"/>
              </w:rPr>
              <w:t></w:t>
            </w:r>
          </w:p>
        </w:tc>
      </w:tr>
      <w:tr w:rsidR="00261FED" w:rsidRPr="003D2B87" w14:paraId="5B642B38" w14:textId="77777777" w:rsidTr="00261FED">
        <w:trPr>
          <w:trHeight w:val="1150"/>
        </w:trPr>
        <w:tc>
          <w:tcPr>
            <w:tcW w:w="2282" w:type="dxa"/>
            <w:tcBorders>
              <w:top w:val="nil"/>
              <w:left w:val="single" w:sz="4" w:space="0" w:color="auto"/>
              <w:bottom w:val="single" w:sz="4" w:space="0" w:color="auto"/>
              <w:right w:val="single" w:sz="4" w:space="0" w:color="auto"/>
            </w:tcBorders>
            <w:shd w:val="clear" w:color="auto" w:fill="auto"/>
            <w:vAlign w:val="center"/>
            <w:hideMark/>
          </w:tcPr>
          <w:p w14:paraId="1E4417D5"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MFG protection to school budgets of +1.84%</w:t>
            </w:r>
          </w:p>
        </w:tc>
        <w:tc>
          <w:tcPr>
            <w:tcW w:w="1521" w:type="dxa"/>
            <w:tcBorders>
              <w:top w:val="nil"/>
              <w:left w:val="nil"/>
              <w:bottom w:val="single" w:sz="4" w:space="0" w:color="auto"/>
              <w:right w:val="single" w:sz="4" w:space="0" w:color="auto"/>
            </w:tcBorders>
            <w:shd w:val="clear" w:color="auto" w:fill="auto"/>
            <w:vAlign w:val="center"/>
            <w:hideMark/>
          </w:tcPr>
          <w:p w14:paraId="35530DF0" w14:textId="77777777" w:rsidR="00261FED" w:rsidRPr="003D2B87" w:rsidRDefault="00261FED" w:rsidP="0058442B">
            <w:pPr>
              <w:spacing w:after="0" w:line="240" w:lineRule="auto"/>
              <w:jc w:val="center"/>
              <w:rPr>
                <w:rFonts w:ascii="Wingdings" w:eastAsia="Times New Roman" w:hAnsi="Wingdings" w:cs="Calibri"/>
                <w:b/>
                <w:bCs/>
                <w:color w:val="000000"/>
                <w:sz w:val="32"/>
                <w:szCs w:val="32"/>
                <w:lang w:eastAsia="en-GB"/>
              </w:rPr>
            </w:pPr>
            <w:r w:rsidRPr="003D2B87">
              <w:rPr>
                <w:rFonts w:ascii="Wingdings" w:eastAsia="Times New Roman" w:hAnsi="Wingdings" w:cs="Calibri"/>
                <w:b/>
                <w:bCs/>
                <w:color w:val="000000"/>
                <w:sz w:val="32"/>
                <w:szCs w:val="32"/>
                <w:lang w:eastAsia="en-GB"/>
              </w:rPr>
              <w:t></w:t>
            </w:r>
          </w:p>
        </w:tc>
        <w:tc>
          <w:tcPr>
            <w:tcW w:w="1521" w:type="dxa"/>
            <w:tcBorders>
              <w:top w:val="nil"/>
              <w:left w:val="nil"/>
              <w:bottom w:val="single" w:sz="4" w:space="0" w:color="auto"/>
              <w:right w:val="single" w:sz="4" w:space="0" w:color="auto"/>
            </w:tcBorders>
            <w:shd w:val="clear" w:color="auto" w:fill="auto"/>
            <w:vAlign w:val="center"/>
            <w:hideMark/>
          </w:tcPr>
          <w:p w14:paraId="4E4A7592" w14:textId="77777777" w:rsidR="00261FED" w:rsidRPr="003D2B87" w:rsidRDefault="00261FED" w:rsidP="0058442B">
            <w:pPr>
              <w:spacing w:after="0" w:line="240" w:lineRule="auto"/>
              <w:jc w:val="center"/>
              <w:rPr>
                <w:rFonts w:ascii="Wingdings" w:eastAsia="Times New Roman" w:hAnsi="Wingdings" w:cs="Calibri"/>
                <w:b/>
                <w:bCs/>
                <w:color w:val="000000"/>
                <w:sz w:val="32"/>
                <w:szCs w:val="32"/>
                <w:lang w:eastAsia="en-GB"/>
              </w:rPr>
            </w:pPr>
            <w:r w:rsidRPr="003D2B87">
              <w:rPr>
                <w:rFonts w:ascii="Wingdings" w:eastAsia="Times New Roman" w:hAnsi="Wingdings" w:cs="Calibri"/>
                <w:b/>
                <w:bCs/>
                <w:color w:val="000000"/>
                <w:sz w:val="32"/>
                <w:szCs w:val="32"/>
                <w:lang w:eastAsia="en-GB"/>
              </w:rPr>
              <w:t></w:t>
            </w:r>
          </w:p>
        </w:tc>
        <w:tc>
          <w:tcPr>
            <w:tcW w:w="1684" w:type="dxa"/>
            <w:tcBorders>
              <w:top w:val="nil"/>
              <w:left w:val="nil"/>
              <w:bottom w:val="single" w:sz="4" w:space="0" w:color="auto"/>
              <w:right w:val="single" w:sz="4" w:space="0" w:color="auto"/>
            </w:tcBorders>
            <w:shd w:val="clear" w:color="auto" w:fill="auto"/>
            <w:vAlign w:val="center"/>
            <w:hideMark/>
          </w:tcPr>
          <w:p w14:paraId="198D4386" w14:textId="77777777" w:rsidR="00261FED" w:rsidRPr="003D2B87" w:rsidRDefault="00261FED" w:rsidP="0058442B">
            <w:pPr>
              <w:spacing w:after="0" w:line="240" w:lineRule="auto"/>
              <w:jc w:val="center"/>
              <w:rPr>
                <w:rFonts w:ascii="Wingdings" w:eastAsia="Times New Roman" w:hAnsi="Wingdings" w:cs="Calibri"/>
                <w:b/>
                <w:bCs/>
                <w:color w:val="000000"/>
                <w:sz w:val="32"/>
                <w:szCs w:val="32"/>
                <w:lang w:eastAsia="en-GB"/>
              </w:rPr>
            </w:pPr>
            <w:r w:rsidRPr="003D2B87">
              <w:rPr>
                <w:rFonts w:ascii="Wingdings" w:eastAsia="Times New Roman" w:hAnsi="Wingdings" w:cs="Calibri"/>
                <w:b/>
                <w:bCs/>
                <w:color w:val="000000"/>
                <w:sz w:val="32"/>
                <w:szCs w:val="32"/>
                <w:lang w:eastAsia="en-GB"/>
              </w:rPr>
              <w:t></w:t>
            </w:r>
          </w:p>
        </w:tc>
      </w:tr>
      <w:tr w:rsidR="00261FED" w:rsidRPr="003D2B87" w14:paraId="5D6E40F9" w14:textId="77777777" w:rsidTr="00261FED">
        <w:trPr>
          <w:trHeight w:val="1150"/>
        </w:trPr>
        <w:tc>
          <w:tcPr>
            <w:tcW w:w="2282" w:type="dxa"/>
            <w:tcBorders>
              <w:top w:val="nil"/>
              <w:left w:val="single" w:sz="4" w:space="0" w:color="auto"/>
              <w:bottom w:val="single" w:sz="4" w:space="0" w:color="auto"/>
              <w:right w:val="single" w:sz="4" w:space="0" w:color="auto"/>
            </w:tcBorders>
            <w:shd w:val="clear" w:color="auto" w:fill="auto"/>
            <w:vAlign w:val="center"/>
            <w:hideMark/>
          </w:tcPr>
          <w:p w14:paraId="2CDADE62"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Funding cap on gainers under NFF</w:t>
            </w:r>
          </w:p>
        </w:tc>
        <w:tc>
          <w:tcPr>
            <w:tcW w:w="1521" w:type="dxa"/>
            <w:tcBorders>
              <w:top w:val="nil"/>
              <w:left w:val="nil"/>
              <w:bottom w:val="single" w:sz="4" w:space="0" w:color="auto"/>
              <w:right w:val="single" w:sz="4" w:space="0" w:color="auto"/>
            </w:tcBorders>
            <w:shd w:val="clear" w:color="auto" w:fill="auto"/>
            <w:vAlign w:val="center"/>
            <w:hideMark/>
          </w:tcPr>
          <w:p w14:paraId="639223AD"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w:t>
            </w:r>
            <w:r w:rsidR="000C6A75" w:rsidRPr="003D2B87">
              <w:rPr>
                <w:rFonts w:ascii="Arial" w:eastAsia="Times New Roman" w:hAnsi="Arial" w:cs="Arial"/>
                <w:b/>
                <w:bCs/>
                <w:color w:val="000000"/>
                <w:sz w:val="24"/>
                <w:szCs w:val="24"/>
                <w:lang w:eastAsia="en-GB"/>
              </w:rPr>
              <w:t>3.92</w:t>
            </w:r>
            <w:r w:rsidRPr="003D2B87">
              <w:rPr>
                <w:rFonts w:ascii="Arial" w:eastAsia="Times New Roman" w:hAnsi="Arial" w:cs="Arial"/>
                <w:b/>
                <w:bCs/>
                <w:color w:val="000000"/>
                <w:sz w:val="24"/>
                <w:szCs w:val="24"/>
                <w:lang w:eastAsia="en-GB"/>
              </w:rPr>
              <w:t>%</w:t>
            </w:r>
          </w:p>
        </w:tc>
        <w:tc>
          <w:tcPr>
            <w:tcW w:w="1521" w:type="dxa"/>
            <w:tcBorders>
              <w:top w:val="nil"/>
              <w:left w:val="nil"/>
              <w:bottom w:val="single" w:sz="4" w:space="0" w:color="auto"/>
              <w:right w:val="single" w:sz="4" w:space="0" w:color="auto"/>
            </w:tcBorders>
            <w:shd w:val="clear" w:color="auto" w:fill="auto"/>
            <w:vAlign w:val="center"/>
            <w:hideMark/>
          </w:tcPr>
          <w:p w14:paraId="786F8806"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+5.</w:t>
            </w:r>
            <w:r w:rsidR="000C6A75" w:rsidRPr="003D2B87">
              <w:rPr>
                <w:rFonts w:ascii="Arial" w:eastAsia="Times New Roman" w:hAnsi="Arial" w:cs="Arial"/>
                <w:b/>
                <w:bCs/>
                <w:color w:val="000000"/>
                <w:sz w:val="24"/>
                <w:szCs w:val="24"/>
                <w:lang w:eastAsia="en-GB"/>
              </w:rPr>
              <w:t>51</w:t>
            </w:r>
            <w:r w:rsidRPr="003D2B87">
              <w:rPr>
                <w:rFonts w:ascii="Arial" w:eastAsia="Times New Roman" w:hAnsi="Arial" w:cs="Arial"/>
                <w:b/>
                <w:bCs/>
                <w:color w:val="000000"/>
                <w:sz w:val="24"/>
                <w:szCs w:val="24"/>
                <w:lang w:eastAsia="en-GB"/>
              </w:rPr>
              <w:t>%</w:t>
            </w:r>
          </w:p>
        </w:tc>
        <w:tc>
          <w:tcPr>
            <w:tcW w:w="1684" w:type="dxa"/>
            <w:tcBorders>
              <w:top w:val="nil"/>
              <w:left w:val="nil"/>
              <w:bottom w:val="single" w:sz="4" w:space="0" w:color="auto"/>
              <w:right w:val="single" w:sz="4" w:space="0" w:color="auto"/>
            </w:tcBorders>
            <w:shd w:val="clear" w:color="auto" w:fill="auto"/>
            <w:vAlign w:val="center"/>
            <w:hideMark/>
          </w:tcPr>
          <w:p w14:paraId="69C248C3" w14:textId="77777777" w:rsidR="00261FED" w:rsidRPr="003D2B87" w:rsidRDefault="000C6A75" w:rsidP="0058442B">
            <w:pPr>
              <w:spacing w:after="0" w:line="240" w:lineRule="auto"/>
              <w:jc w:val="center"/>
              <w:rPr>
                <w:rFonts w:ascii="Arial" w:eastAsia="Times New Roman" w:hAnsi="Arial" w:cs="Arial"/>
                <w:b/>
                <w:color w:val="000000"/>
                <w:sz w:val="24"/>
                <w:szCs w:val="24"/>
                <w:lang w:eastAsia="en-GB"/>
              </w:rPr>
            </w:pPr>
            <w:r w:rsidRPr="003D2B87">
              <w:rPr>
                <w:rFonts w:ascii="Arial" w:eastAsia="Times New Roman" w:hAnsi="Arial" w:cs="Arial"/>
                <w:b/>
                <w:color w:val="000000"/>
                <w:sz w:val="24"/>
                <w:szCs w:val="24"/>
                <w:lang w:eastAsia="en-GB"/>
              </w:rPr>
              <w:t>+23.3%</w:t>
            </w:r>
          </w:p>
        </w:tc>
      </w:tr>
      <w:tr w:rsidR="00261FED" w:rsidRPr="003D2B87" w14:paraId="2152043C" w14:textId="77777777" w:rsidTr="00261FED">
        <w:trPr>
          <w:trHeight w:val="1150"/>
        </w:trPr>
        <w:tc>
          <w:tcPr>
            <w:tcW w:w="2282" w:type="dxa"/>
            <w:tcBorders>
              <w:top w:val="nil"/>
              <w:left w:val="single" w:sz="4" w:space="0" w:color="auto"/>
              <w:bottom w:val="single" w:sz="4" w:space="0" w:color="auto"/>
              <w:right w:val="single" w:sz="4" w:space="0" w:color="auto"/>
            </w:tcBorders>
            <w:shd w:val="clear" w:color="auto" w:fill="auto"/>
            <w:vAlign w:val="center"/>
          </w:tcPr>
          <w:p w14:paraId="69BF6C04" w14:textId="77777777" w:rsidR="00261FED" w:rsidRPr="003D2B87" w:rsidRDefault="00261FED" w:rsidP="0058442B">
            <w:pPr>
              <w:spacing w:after="0" w:line="240" w:lineRule="auto"/>
              <w:jc w:val="center"/>
              <w:rPr>
                <w:rFonts w:ascii="Arial" w:eastAsia="Times New Roman" w:hAnsi="Arial" w:cs="Arial"/>
                <w:b/>
                <w:bCs/>
                <w:color w:val="000000"/>
                <w:sz w:val="24"/>
                <w:szCs w:val="24"/>
                <w:lang w:eastAsia="en-GB"/>
              </w:rPr>
            </w:pPr>
            <w:r w:rsidRPr="003D2B87">
              <w:rPr>
                <w:rFonts w:ascii="Arial" w:eastAsia="Times New Roman" w:hAnsi="Arial" w:cs="Arial"/>
                <w:b/>
                <w:bCs/>
                <w:color w:val="000000"/>
                <w:sz w:val="24"/>
                <w:szCs w:val="24"/>
                <w:lang w:eastAsia="en-GB"/>
              </w:rPr>
              <w:t xml:space="preserve">2019/20 Minimum Per-Pupil Funding Levels </w:t>
            </w:r>
          </w:p>
        </w:tc>
        <w:tc>
          <w:tcPr>
            <w:tcW w:w="1521" w:type="dxa"/>
            <w:tcBorders>
              <w:top w:val="nil"/>
              <w:left w:val="nil"/>
              <w:bottom w:val="single" w:sz="4" w:space="0" w:color="auto"/>
              <w:right w:val="single" w:sz="4" w:space="0" w:color="auto"/>
            </w:tcBorders>
            <w:shd w:val="clear" w:color="auto" w:fill="auto"/>
            <w:vAlign w:val="center"/>
          </w:tcPr>
          <w:p w14:paraId="6F9FD44E" w14:textId="77777777" w:rsidR="00261FED" w:rsidRPr="003D2B87" w:rsidRDefault="00261FED" w:rsidP="0058442B">
            <w:pPr>
              <w:spacing w:after="0" w:line="240" w:lineRule="auto"/>
              <w:jc w:val="center"/>
              <w:rPr>
                <w:rFonts w:ascii="Wingdings" w:eastAsia="Times New Roman" w:hAnsi="Wingdings" w:cs="Calibri"/>
                <w:b/>
                <w:bCs/>
                <w:color w:val="000000"/>
                <w:sz w:val="32"/>
                <w:szCs w:val="32"/>
                <w:lang w:eastAsia="en-GB"/>
              </w:rPr>
            </w:pPr>
            <w:r w:rsidRPr="003D2B87">
              <w:rPr>
                <w:rFonts w:ascii="Wingdings" w:eastAsia="Times New Roman" w:hAnsi="Wingdings" w:cs="Calibri"/>
                <w:b/>
                <w:bCs/>
                <w:color w:val="000000"/>
                <w:sz w:val="32"/>
                <w:szCs w:val="32"/>
                <w:lang w:eastAsia="en-GB"/>
              </w:rPr>
              <w:t></w:t>
            </w:r>
          </w:p>
        </w:tc>
        <w:tc>
          <w:tcPr>
            <w:tcW w:w="1521" w:type="dxa"/>
            <w:tcBorders>
              <w:top w:val="nil"/>
              <w:left w:val="nil"/>
              <w:bottom w:val="single" w:sz="4" w:space="0" w:color="auto"/>
              <w:right w:val="single" w:sz="4" w:space="0" w:color="auto"/>
            </w:tcBorders>
            <w:shd w:val="clear" w:color="auto" w:fill="auto"/>
            <w:vAlign w:val="center"/>
          </w:tcPr>
          <w:p w14:paraId="61A0A207" w14:textId="77777777" w:rsidR="00261FED" w:rsidRPr="003D2B87" w:rsidRDefault="00261FED" w:rsidP="0058442B">
            <w:pPr>
              <w:spacing w:after="0" w:line="240" w:lineRule="auto"/>
              <w:jc w:val="center"/>
              <w:rPr>
                <w:rFonts w:ascii="Wingdings" w:eastAsia="Times New Roman" w:hAnsi="Wingdings" w:cs="Calibri"/>
                <w:b/>
                <w:bCs/>
                <w:color w:val="000000"/>
                <w:sz w:val="32"/>
                <w:szCs w:val="32"/>
                <w:lang w:eastAsia="en-GB"/>
              </w:rPr>
            </w:pPr>
            <w:r w:rsidRPr="003D2B87">
              <w:rPr>
                <w:rFonts w:ascii="Wingdings" w:eastAsia="Times New Roman" w:hAnsi="Wingdings" w:cs="Calibri"/>
                <w:b/>
                <w:bCs/>
                <w:color w:val="000000"/>
                <w:sz w:val="32"/>
                <w:szCs w:val="32"/>
                <w:lang w:eastAsia="en-GB"/>
              </w:rPr>
              <w:t></w:t>
            </w:r>
          </w:p>
        </w:tc>
        <w:tc>
          <w:tcPr>
            <w:tcW w:w="1684" w:type="dxa"/>
            <w:tcBorders>
              <w:top w:val="nil"/>
              <w:left w:val="nil"/>
              <w:bottom w:val="single" w:sz="4" w:space="0" w:color="auto"/>
              <w:right w:val="single" w:sz="4" w:space="0" w:color="auto"/>
            </w:tcBorders>
            <w:shd w:val="clear" w:color="auto" w:fill="auto"/>
            <w:vAlign w:val="center"/>
          </w:tcPr>
          <w:p w14:paraId="6A74E3BF" w14:textId="77777777" w:rsidR="00261FED" w:rsidRPr="003D2B87" w:rsidRDefault="00261FED" w:rsidP="0058442B">
            <w:pPr>
              <w:spacing w:after="0" w:line="240" w:lineRule="auto"/>
              <w:jc w:val="center"/>
              <w:rPr>
                <w:rFonts w:ascii="Wingdings" w:eastAsia="Times New Roman" w:hAnsi="Wingdings" w:cs="Calibri"/>
                <w:b/>
                <w:bCs/>
                <w:color w:val="000000"/>
                <w:sz w:val="32"/>
                <w:szCs w:val="32"/>
                <w:lang w:eastAsia="en-GB"/>
              </w:rPr>
            </w:pPr>
            <w:r w:rsidRPr="003D2B87">
              <w:rPr>
                <w:rFonts w:ascii="Wingdings" w:eastAsia="Times New Roman" w:hAnsi="Wingdings" w:cs="Calibri"/>
                <w:b/>
                <w:bCs/>
                <w:color w:val="000000"/>
                <w:sz w:val="32"/>
                <w:szCs w:val="32"/>
                <w:lang w:eastAsia="en-GB"/>
              </w:rPr>
              <w:t></w:t>
            </w:r>
          </w:p>
        </w:tc>
      </w:tr>
    </w:tbl>
    <w:p w14:paraId="62793036" w14:textId="77777777" w:rsidR="00AA4070" w:rsidRPr="003D2B87" w:rsidRDefault="00AA4070" w:rsidP="00AA4070">
      <w:pPr>
        <w:rPr>
          <w:rFonts w:ascii="Arial" w:hAnsi="Arial" w:cs="Arial"/>
          <w:sz w:val="24"/>
          <w:szCs w:val="24"/>
        </w:rPr>
      </w:pPr>
    </w:p>
    <w:p w14:paraId="5E3B6D38" w14:textId="77777777" w:rsidR="000C6A75" w:rsidRPr="003D2B87" w:rsidRDefault="000C6A75" w:rsidP="000C6A75">
      <w:pPr>
        <w:rPr>
          <w:rFonts w:ascii="Arial" w:hAnsi="Arial" w:cs="Arial"/>
          <w:b/>
          <w:sz w:val="24"/>
          <w:szCs w:val="24"/>
        </w:rPr>
      </w:pPr>
      <w:r w:rsidRPr="003D2B87">
        <w:rPr>
          <w:rFonts w:ascii="Arial" w:hAnsi="Arial" w:cs="Arial"/>
          <w:b/>
          <w:sz w:val="24"/>
          <w:szCs w:val="24"/>
        </w:rPr>
        <w:t>Option 1</w:t>
      </w:r>
    </w:p>
    <w:p w14:paraId="28D9E2E0" w14:textId="77777777" w:rsidR="000C6A75" w:rsidRPr="003D2B87" w:rsidRDefault="000C6A75" w:rsidP="000C6A75">
      <w:pPr>
        <w:rPr>
          <w:rFonts w:ascii="Arial" w:hAnsi="Arial" w:cs="Arial"/>
          <w:b/>
          <w:sz w:val="24"/>
          <w:szCs w:val="24"/>
        </w:rPr>
      </w:pPr>
      <w:r w:rsidRPr="003D2B87">
        <w:rPr>
          <w:rFonts w:ascii="Arial" w:eastAsia="Times New Roman" w:hAnsi="Arial" w:cs="Arial"/>
          <w:b/>
          <w:sz w:val="24"/>
          <w:szCs w:val="24"/>
        </w:rPr>
        <w:t>Implementation of DfE’s National Funding Formula unit rates and methodologies, with a transfer £4.981m of Schools Block (0.5% plus a further £2.5m as per the LA’s revised DSG recovery plan) to High Needs Block.  The Minimum Funding Guarantee would be set at +1.84% and there would need to be an estimated funding cap of +3.92%.</w:t>
      </w:r>
    </w:p>
    <w:p w14:paraId="49E16392" w14:textId="77777777" w:rsidR="000C6A75" w:rsidRPr="003D2B87" w:rsidRDefault="000C6A75" w:rsidP="000C6A75">
      <w:pPr>
        <w:rPr>
          <w:rFonts w:ascii="Arial" w:hAnsi="Arial" w:cs="Arial"/>
          <w:sz w:val="24"/>
          <w:szCs w:val="24"/>
        </w:rPr>
      </w:pPr>
      <w:r w:rsidRPr="003D2B87">
        <w:rPr>
          <w:rFonts w:ascii="Arial" w:hAnsi="Arial" w:cs="Arial"/>
          <w:sz w:val="24"/>
          <w:szCs w:val="24"/>
        </w:rPr>
        <w:t xml:space="preserve">Norfolk’s current DSG Recovery Plan is underpinned by two key elements: </w:t>
      </w:r>
    </w:p>
    <w:p w14:paraId="66B5BAB8" w14:textId="77777777" w:rsidR="000C6A75" w:rsidRPr="003D2B87" w:rsidRDefault="000C6A75" w:rsidP="000C6A75">
      <w:pPr>
        <w:pStyle w:val="ListParagraph"/>
        <w:numPr>
          <w:ilvl w:val="0"/>
          <w:numId w:val="9"/>
        </w:numPr>
        <w:rPr>
          <w:rFonts w:ascii="Arial" w:hAnsi="Arial" w:cs="Arial"/>
          <w:sz w:val="24"/>
          <w:szCs w:val="24"/>
        </w:rPr>
      </w:pPr>
      <w:r w:rsidRPr="003D2B87">
        <w:rPr>
          <w:rFonts w:ascii="Arial" w:hAnsi="Arial" w:cs="Arial"/>
          <w:sz w:val="24"/>
          <w:szCs w:val="24"/>
        </w:rPr>
        <w:t>through the £120m capital investment to build new special schools, specialist resources bases and to develop student support hubs</w:t>
      </w:r>
    </w:p>
    <w:p w14:paraId="64C90726" w14:textId="77777777" w:rsidR="000C6A75" w:rsidRPr="003D2B87" w:rsidRDefault="000C6A75" w:rsidP="000C6A75">
      <w:pPr>
        <w:pStyle w:val="ListParagraph"/>
        <w:numPr>
          <w:ilvl w:val="0"/>
          <w:numId w:val="9"/>
        </w:numPr>
        <w:rPr>
          <w:rFonts w:ascii="Arial" w:hAnsi="Arial" w:cs="Arial"/>
          <w:sz w:val="24"/>
          <w:szCs w:val="24"/>
        </w:rPr>
      </w:pPr>
      <w:r w:rsidRPr="003D2B87">
        <w:rPr>
          <w:rFonts w:ascii="Arial" w:hAnsi="Arial" w:cs="Arial"/>
          <w:sz w:val="24"/>
          <w:szCs w:val="24"/>
        </w:rPr>
        <w:t>the assumption of ongoing transfers of funding between the Schools Block and High Needs Block.</w:t>
      </w:r>
    </w:p>
    <w:p w14:paraId="0F2422A3" w14:textId="77777777" w:rsidR="000C6A75" w:rsidRPr="003D2B87" w:rsidRDefault="000C6A75" w:rsidP="000C6A75">
      <w:pPr>
        <w:rPr>
          <w:rFonts w:ascii="Arial" w:hAnsi="Arial" w:cs="Arial"/>
          <w:sz w:val="24"/>
          <w:szCs w:val="24"/>
        </w:rPr>
      </w:pPr>
      <w:r w:rsidRPr="003D2B87">
        <w:rPr>
          <w:rFonts w:ascii="Arial" w:hAnsi="Arial" w:cs="Arial"/>
          <w:sz w:val="24"/>
          <w:szCs w:val="24"/>
        </w:rPr>
        <w:t>A transfer of more than 0.5% will require the Local Authority to submit a disapplication request to the Secretary of State.  In doing so the LA will need to demonstrate with a business case that this is the best possible option, in the short-term, taking account of the announcements from government in October of £780m nationally for SEND and a ‘levelling up’ of school funding through the Schools Block.</w:t>
      </w:r>
    </w:p>
    <w:p w14:paraId="785174EB" w14:textId="77777777" w:rsidR="000C6A75" w:rsidRPr="003D2B87" w:rsidRDefault="000C6A75" w:rsidP="000C6A75">
      <w:pPr>
        <w:rPr>
          <w:rFonts w:ascii="Arial" w:hAnsi="Arial" w:cs="Arial"/>
          <w:sz w:val="24"/>
          <w:szCs w:val="24"/>
        </w:rPr>
      </w:pPr>
      <w:r w:rsidRPr="003D2B87">
        <w:rPr>
          <w:rFonts w:ascii="Arial" w:hAnsi="Arial" w:cs="Arial"/>
          <w:sz w:val="24"/>
          <w:szCs w:val="24"/>
        </w:rPr>
        <w:t>The benefits to the Norfolk-wide Education System are:</w:t>
      </w:r>
    </w:p>
    <w:p w14:paraId="67FF53EE" w14:textId="77777777" w:rsidR="000C6A75" w:rsidRPr="003D2B87" w:rsidRDefault="000C6A75" w:rsidP="000C6A75">
      <w:pPr>
        <w:pStyle w:val="ListParagraph"/>
        <w:numPr>
          <w:ilvl w:val="0"/>
          <w:numId w:val="9"/>
        </w:numPr>
        <w:rPr>
          <w:rFonts w:ascii="Arial" w:hAnsi="Arial" w:cs="Arial"/>
          <w:sz w:val="24"/>
          <w:szCs w:val="24"/>
        </w:rPr>
      </w:pPr>
      <w:r w:rsidRPr="003D2B87">
        <w:rPr>
          <w:rFonts w:ascii="Arial" w:hAnsi="Arial" w:cs="Arial"/>
          <w:sz w:val="24"/>
          <w:szCs w:val="24"/>
        </w:rPr>
        <w:t>All schools are expected to gain funding compared to 2019/20 despite the transfer on a like-for-like basis (e.g. assuming no change in pupil numbers)</w:t>
      </w:r>
    </w:p>
    <w:p w14:paraId="4943B557" w14:textId="77777777" w:rsidR="000C6A75" w:rsidRPr="003D2B87" w:rsidRDefault="000C6A75" w:rsidP="000C6A75">
      <w:pPr>
        <w:pStyle w:val="ListParagraph"/>
        <w:numPr>
          <w:ilvl w:val="0"/>
          <w:numId w:val="9"/>
        </w:numPr>
        <w:rPr>
          <w:rFonts w:ascii="Arial" w:hAnsi="Arial" w:cs="Arial"/>
          <w:sz w:val="24"/>
          <w:szCs w:val="24"/>
        </w:rPr>
      </w:pPr>
      <w:r w:rsidRPr="003D2B87">
        <w:rPr>
          <w:rFonts w:ascii="Arial" w:hAnsi="Arial" w:cs="Arial"/>
          <w:sz w:val="24"/>
          <w:szCs w:val="24"/>
        </w:rPr>
        <w:lastRenderedPageBreak/>
        <w:t>the whole system will be demonstrating a responsible approach to good financial management, recognising the impact of higher than average SEND identification and the impact that this has had on High Needs pressures historically, whilst also implementing a transformation programme that will improve educational provision and outcomes for children and young people whilst addressing the ongoing budget pressures;</w:t>
      </w:r>
    </w:p>
    <w:p w14:paraId="64D9E703" w14:textId="77777777" w:rsidR="00131DCD" w:rsidRDefault="00131DCD" w:rsidP="00131DCD">
      <w:pPr>
        <w:pStyle w:val="ListParagraph"/>
        <w:rPr>
          <w:rFonts w:ascii="Arial" w:hAnsi="Arial" w:cs="Arial"/>
          <w:b/>
          <w:sz w:val="24"/>
          <w:szCs w:val="24"/>
        </w:rPr>
      </w:pPr>
    </w:p>
    <w:p w14:paraId="549D2134" w14:textId="77777777" w:rsidR="00131DCD" w:rsidRDefault="00131DCD" w:rsidP="00131DCD">
      <w:pPr>
        <w:pStyle w:val="ListParagraph"/>
        <w:rPr>
          <w:rFonts w:ascii="Arial" w:hAnsi="Arial" w:cs="Arial"/>
          <w:b/>
          <w:sz w:val="24"/>
          <w:szCs w:val="24"/>
        </w:rPr>
      </w:pPr>
    </w:p>
    <w:p w14:paraId="59BC52AE" w14:textId="1680572D" w:rsidR="000C6A75" w:rsidRPr="003D2B87" w:rsidRDefault="000C6A75" w:rsidP="00131DCD">
      <w:pPr>
        <w:pStyle w:val="ListParagraph"/>
        <w:ind w:left="0"/>
        <w:rPr>
          <w:rFonts w:ascii="Arial" w:hAnsi="Arial" w:cs="Arial"/>
          <w:b/>
          <w:sz w:val="24"/>
          <w:szCs w:val="24"/>
        </w:rPr>
      </w:pPr>
      <w:r w:rsidRPr="003D2B87">
        <w:rPr>
          <w:rFonts w:ascii="Arial" w:hAnsi="Arial" w:cs="Arial"/>
          <w:b/>
          <w:sz w:val="24"/>
          <w:szCs w:val="24"/>
        </w:rPr>
        <w:t>Option 2</w:t>
      </w:r>
    </w:p>
    <w:p w14:paraId="28BCB747" w14:textId="77777777" w:rsidR="000C6A75" w:rsidRPr="003D2B87" w:rsidRDefault="000C6A75" w:rsidP="000C6A75">
      <w:pPr>
        <w:rPr>
          <w:rFonts w:ascii="Arial" w:eastAsia="Times New Roman" w:hAnsi="Arial" w:cs="Arial"/>
          <w:b/>
          <w:sz w:val="24"/>
          <w:szCs w:val="24"/>
        </w:rPr>
      </w:pPr>
      <w:r w:rsidRPr="003D2B87">
        <w:rPr>
          <w:rFonts w:ascii="Arial" w:eastAsia="Times New Roman" w:hAnsi="Arial" w:cs="Arial"/>
          <w:b/>
          <w:sz w:val="24"/>
          <w:szCs w:val="24"/>
        </w:rPr>
        <w:t>Implementation of DfE’s National Funding Formula unit rates and methodologies, with a transfer £2.481m of Schools Block (0.5%) to High Needs Block.  The Minimum Funding Guarantee would be set at +1.84% and there would need to be an estimated funding cap of +5.51%.</w:t>
      </w:r>
    </w:p>
    <w:p w14:paraId="6ACFDF01" w14:textId="77777777" w:rsidR="000C6A75" w:rsidRPr="003D2B87" w:rsidRDefault="000C6A75" w:rsidP="000C6A75">
      <w:pPr>
        <w:rPr>
          <w:rFonts w:ascii="Arial" w:hAnsi="Arial" w:cs="Arial"/>
          <w:sz w:val="24"/>
          <w:szCs w:val="24"/>
        </w:rPr>
      </w:pPr>
      <w:r w:rsidRPr="003D2B87">
        <w:rPr>
          <w:rFonts w:ascii="Arial" w:hAnsi="Arial" w:cs="Arial"/>
          <w:sz w:val="24"/>
          <w:szCs w:val="24"/>
        </w:rPr>
        <w:t xml:space="preserve">Norfolk’s current DSG Recovery Plan is underpinned by two key elements: </w:t>
      </w:r>
    </w:p>
    <w:p w14:paraId="43AB1CC1" w14:textId="77777777" w:rsidR="000C6A75" w:rsidRPr="003D2B87" w:rsidRDefault="000C6A75" w:rsidP="000C6A75">
      <w:pPr>
        <w:pStyle w:val="ListParagraph"/>
        <w:numPr>
          <w:ilvl w:val="0"/>
          <w:numId w:val="9"/>
        </w:numPr>
        <w:rPr>
          <w:rFonts w:ascii="Arial" w:hAnsi="Arial" w:cs="Arial"/>
          <w:sz w:val="24"/>
          <w:szCs w:val="24"/>
        </w:rPr>
      </w:pPr>
      <w:r w:rsidRPr="003D2B87">
        <w:rPr>
          <w:rFonts w:ascii="Arial" w:hAnsi="Arial" w:cs="Arial"/>
          <w:sz w:val="24"/>
          <w:szCs w:val="24"/>
        </w:rPr>
        <w:t>through the £120m capital investment to build new special schools, specialist resources bases and to develop student support hubs</w:t>
      </w:r>
    </w:p>
    <w:p w14:paraId="167AE777" w14:textId="77777777" w:rsidR="000C6A75" w:rsidRPr="003D2B87" w:rsidRDefault="000C6A75" w:rsidP="000C6A75">
      <w:pPr>
        <w:pStyle w:val="ListParagraph"/>
        <w:numPr>
          <w:ilvl w:val="0"/>
          <w:numId w:val="9"/>
        </w:numPr>
        <w:rPr>
          <w:rFonts w:ascii="Arial" w:hAnsi="Arial" w:cs="Arial"/>
          <w:sz w:val="24"/>
          <w:szCs w:val="24"/>
        </w:rPr>
      </w:pPr>
      <w:r w:rsidRPr="003D2B87">
        <w:rPr>
          <w:rFonts w:ascii="Arial" w:hAnsi="Arial" w:cs="Arial"/>
          <w:sz w:val="24"/>
          <w:szCs w:val="24"/>
        </w:rPr>
        <w:t>the assumption of ongoing transfers of funding between the Schools Block and High Needs Block.</w:t>
      </w:r>
    </w:p>
    <w:p w14:paraId="040E816C" w14:textId="77777777" w:rsidR="000C6A75" w:rsidRPr="003D2B87" w:rsidRDefault="000C6A75" w:rsidP="000C6A75">
      <w:pPr>
        <w:rPr>
          <w:rFonts w:ascii="Arial" w:hAnsi="Arial" w:cs="Arial"/>
          <w:sz w:val="24"/>
          <w:szCs w:val="24"/>
        </w:rPr>
      </w:pPr>
      <w:r w:rsidRPr="003D2B87">
        <w:rPr>
          <w:rFonts w:ascii="Arial" w:hAnsi="Arial" w:cs="Arial"/>
          <w:sz w:val="24"/>
          <w:szCs w:val="24"/>
        </w:rPr>
        <w:t>The High Needs Block and the Schools Block will increase in 2020/21 following announcements from government in October of £780m nationally for SEND and a ‘levelling up’ of school funding.</w:t>
      </w:r>
    </w:p>
    <w:p w14:paraId="3B87C0C2" w14:textId="77777777" w:rsidR="000C6A75" w:rsidRPr="003D2B87" w:rsidRDefault="000C6A75" w:rsidP="000C6A75">
      <w:pPr>
        <w:rPr>
          <w:rFonts w:ascii="Arial" w:hAnsi="Arial" w:cs="Arial"/>
          <w:sz w:val="24"/>
          <w:szCs w:val="24"/>
        </w:rPr>
      </w:pPr>
      <w:r w:rsidRPr="003D2B87">
        <w:rPr>
          <w:rFonts w:ascii="Arial" w:hAnsi="Arial" w:cs="Arial"/>
          <w:sz w:val="24"/>
          <w:szCs w:val="24"/>
        </w:rPr>
        <w:t xml:space="preserve">On the basis of current forecast pressures, this would lead to an in-year deficit in 2020/21 and a cumulative outstanding deficit of c.£19m by the end of 2020/21. </w:t>
      </w:r>
    </w:p>
    <w:p w14:paraId="61FAB8FA" w14:textId="77777777" w:rsidR="000C6A75" w:rsidRPr="003D2B87" w:rsidRDefault="000C6A75" w:rsidP="000C6A75">
      <w:pPr>
        <w:rPr>
          <w:rFonts w:ascii="Arial" w:hAnsi="Arial" w:cs="Arial"/>
          <w:sz w:val="24"/>
          <w:szCs w:val="24"/>
        </w:rPr>
      </w:pPr>
      <w:r w:rsidRPr="003D2B87">
        <w:rPr>
          <w:rFonts w:ascii="Arial" w:hAnsi="Arial" w:cs="Arial"/>
          <w:sz w:val="24"/>
          <w:szCs w:val="24"/>
        </w:rPr>
        <w:t>If this level of block transfer continued for 2021/22 and 2022/23, it is expected that the cumulative deficit would not be repaid until 2023/24.</w:t>
      </w:r>
    </w:p>
    <w:p w14:paraId="6A973B3D" w14:textId="77777777" w:rsidR="000C6A75" w:rsidRPr="003D2B87" w:rsidRDefault="000C6A75" w:rsidP="000C6A75">
      <w:pPr>
        <w:rPr>
          <w:rFonts w:ascii="Arial" w:hAnsi="Arial" w:cs="Arial"/>
          <w:b/>
          <w:sz w:val="24"/>
          <w:szCs w:val="24"/>
        </w:rPr>
      </w:pPr>
    </w:p>
    <w:p w14:paraId="46C88CFE" w14:textId="77777777" w:rsidR="000C6A75" w:rsidRPr="003D2B87" w:rsidRDefault="000C6A75" w:rsidP="000C6A75">
      <w:pPr>
        <w:rPr>
          <w:rFonts w:ascii="Arial" w:hAnsi="Arial" w:cs="Arial"/>
          <w:b/>
          <w:sz w:val="24"/>
          <w:szCs w:val="24"/>
        </w:rPr>
      </w:pPr>
      <w:r w:rsidRPr="003D2B87">
        <w:rPr>
          <w:rFonts w:ascii="Arial" w:hAnsi="Arial" w:cs="Arial"/>
          <w:b/>
          <w:sz w:val="24"/>
          <w:szCs w:val="24"/>
        </w:rPr>
        <w:t>Option 3</w:t>
      </w:r>
    </w:p>
    <w:p w14:paraId="16D5D374" w14:textId="77777777" w:rsidR="000C6A75" w:rsidRPr="003D2B87" w:rsidRDefault="000C6A75" w:rsidP="000C6A75">
      <w:pPr>
        <w:rPr>
          <w:rFonts w:ascii="Arial" w:eastAsia="Times New Roman" w:hAnsi="Arial" w:cs="Arial"/>
          <w:b/>
          <w:sz w:val="24"/>
          <w:szCs w:val="24"/>
        </w:rPr>
      </w:pPr>
      <w:r w:rsidRPr="003D2B87">
        <w:rPr>
          <w:rFonts w:ascii="Arial" w:eastAsia="Times New Roman" w:hAnsi="Arial" w:cs="Arial"/>
          <w:b/>
          <w:sz w:val="24"/>
          <w:szCs w:val="24"/>
        </w:rPr>
        <w:t>Implementation of DfE’s National Funding Formula unit rates and methodologies.  The Minimum Funding Guarantee would be set at +1.84% and there would need to be an estimated funding cap of +23.33%.</w:t>
      </w:r>
    </w:p>
    <w:p w14:paraId="241DC130" w14:textId="77777777" w:rsidR="000C6A75" w:rsidRPr="003D2B87" w:rsidRDefault="000C6A75" w:rsidP="000C6A75">
      <w:pPr>
        <w:rPr>
          <w:rFonts w:ascii="Arial" w:hAnsi="Arial" w:cs="Arial"/>
          <w:b/>
          <w:sz w:val="24"/>
          <w:szCs w:val="24"/>
        </w:rPr>
      </w:pPr>
    </w:p>
    <w:p w14:paraId="2489232F" w14:textId="77777777" w:rsidR="000C6A75" w:rsidRPr="003D2B87" w:rsidRDefault="000C6A75" w:rsidP="000C6A75">
      <w:pPr>
        <w:rPr>
          <w:rFonts w:ascii="Arial" w:hAnsi="Arial" w:cs="Arial"/>
          <w:sz w:val="24"/>
          <w:szCs w:val="24"/>
        </w:rPr>
      </w:pPr>
      <w:r w:rsidRPr="003D2B87">
        <w:rPr>
          <w:rFonts w:ascii="Arial" w:hAnsi="Arial" w:cs="Arial"/>
          <w:sz w:val="24"/>
          <w:szCs w:val="24"/>
        </w:rPr>
        <w:t xml:space="preserve">Norfolk’s current DSG Recovery Plan is underpinned by two key elements: </w:t>
      </w:r>
    </w:p>
    <w:p w14:paraId="3C178642" w14:textId="77777777" w:rsidR="000C6A75" w:rsidRPr="003D2B87" w:rsidRDefault="000C6A75" w:rsidP="000C6A75">
      <w:pPr>
        <w:pStyle w:val="ListParagraph"/>
        <w:numPr>
          <w:ilvl w:val="0"/>
          <w:numId w:val="9"/>
        </w:numPr>
        <w:rPr>
          <w:rFonts w:ascii="Arial" w:hAnsi="Arial" w:cs="Arial"/>
          <w:sz w:val="24"/>
          <w:szCs w:val="24"/>
        </w:rPr>
      </w:pPr>
      <w:r w:rsidRPr="003D2B87">
        <w:rPr>
          <w:rFonts w:ascii="Arial" w:hAnsi="Arial" w:cs="Arial"/>
          <w:sz w:val="24"/>
          <w:szCs w:val="24"/>
        </w:rPr>
        <w:t>through the £120m capital investment to build new special schools, specialist resources bases and to develop student support hubs</w:t>
      </w:r>
    </w:p>
    <w:p w14:paraId="6D86770D" w14:textId="77777777" w:rsidR="000C6A75" w:rsidRPr="003D2B87" w:rsidRDefault="000C6A75" w:rsidP="000C6A75">
      <w:pPr>
        <w:pStyle w:val="ListParagraph"/>
        <w:numPr>
          <w:ilvl w:val="0"/>
          <w:numId w:val="9"/>
        </w:numPr>
        <w:rPr>
          <w:rFonts w:ascii="Arial" w:hAnsi="Arial" w:cs="Arial"/>
          <w:sz w:val="24"/>
          <w:szCs w:val="24"/>
        </w:rPr>
      </w:pPr>
      <w:r w:rsidRPr="003D2B87">
        <w:rPr>
          <w:rFonts w:ascii="Arial" w:hAnsi="Arial" w:cs="Arial"/>
          <w:sz w:val="24"/>
          <w:szCs w:val="24"/>
        </w:rPr>
        <w:t>the assumption of ongoing transfers of funding between the Schools Block and High Needs Block.</w:t>
      </w:r>
    </w:p>
    <w:p w14:paraId="5A922F33" w14:textId="77777777" w:rsidR="000C6A75" w:rsidRPr="003D2B87" w:rsidRDefault="000C6A75" w:rsidP="000C6A75">
      <w:pPr>
        <w:rPr>
          <w:rFonts w:ascii="Arial" w:hAnsi="Arial" w:cs="Arial"/>
          <w:sz w:val="24"/>
          <w:szCs w:val="24"/>
        </w:rPr>
      </w:pPr>
      <w:r w:rsidRPr="003D2B87">
        <w:rPr>
          <w:rFonts w:ascii="Arial" w:hAnsi="Arial" w:cs="Arial"/>
          <w:sz w:val="24"/>
          <w:szCs w:val="24"/>
        </w:rPr>
        <w:t>The High Needs Block and the Schools Block will increase in 2020/21 following announcements from government in October of £780m nationally for SEND and a ‘levelling up’ of school funding.</w:t>
      </w:r>
    </w:p>
    <w:p w14:paraId="35298C92" w14:textId="77777777" w:rsidR="000C6A75" w:rsidRPr="003D2B87" w:rsidRDefault="000C6A75" w:rsidP="000C6A75">
      <w:pPr>
        <w:rPr>
          <w:rFonts w:ascii="Arial" w:hAnsi="Arial" w:cs="Arial"/>
          <w:sz w:val="24"/>
          <w:szCs w:val="24"/>
        </w:rPr>
      </w:pPr>
      <w:r w:rsidRPr="003D2B87">
        <w:rPr>
          <w:rFonts w:ascii="Arial" w:hAnsi="Arial" w:cs="Arial"/>
          <w:sz w:val="24"/>
          <w:szCs w:val="24"/>
        </w:rPr>
        <w:lastRenderedPageBreak/>
        <w:t xml:space="preserve">On the basis of current forecast pressures, this would lead to an in-year deficit in 2020/21 and a cumulative outstanding deficit of c.£21.5m by the end of 2020/21. </w:t>
      </w:r>
    </w:p>
    <w:p w14:paraId="16029D1A" w14:textId="77777777" w:rsidR="000C6A75" w:rsidRPr="003D2B87" w:rsidRDefault="000C6A75" w:rsidP="000C6A75">
      <w:pPr>
        <w:rPr>
          <w:rFonts w:ascii="Arial" w:hAnsi="Arial" w:cs="Arial"/>
          <w:sz w:val="24"/>
          <w:szCs w:val="24"/>
        </w:rPr>
      </w:pPr>
      <w:r w:rsidRPr="003D2B87">
        <w:rPr>
          <w:rFonts w:ascii="Arial" w:hAnsi="Arial" w:cs="Arial"/>
          <w:sz w:val="24"/>
          <w:szCs w:val="24"/>
        </w:rPr>
        <w:t>If Norfolk continued with no block transfer beyond 2020/21, it is expected that there would still be a cumulative deficit in excess of £7m outstanding at the end of 2023/24.</w:t>
      </w:r>
    </w:p>
    <w:p w14:paraId="434AF6D3" w14:textId="77777777" w:rsidR="00AA4070" w:rsidRPr="003D2B87" w:rsidRDefault="00AA4070" w:rsidP="00AA4070">
      <w:pPr>
        <w:rPr>
          <w:rFonts w:ascii="Arial" w:hAnsi="Arial" w:cs="Arial"/>
          <w:sz w:val="24"/>
          <w:szCs w:val="24"/>
        </w:rPr>
      </w:pPr>
    </w:p>
    <w:p w14:paraId="2DEBD704" w14:textId="77777777" w:rsidR="00685696" w:rsidRPr="003D2B87" w:rsidRDefault="00685696" w:rsidP="00685696">
      <w:pPr>
        <w:pStyle w:val="ListParagraph"/>
        <w:ind w:left="0"/>
        <w:rPr>
          <w:rFonts w:ascii="Arial" w:hAnsi="Arial" w:cs="Arial"/>
          <w:b/>
          <w:sz w:val="24"/>
          <w:szCs w:val="24"/>
        </w:rPr>
      </w:pPr>
      <w:r w:rsidRPr="003D2B87">
        <w:rPr>
          <w:rFonts w:ascii="Arial" w:hAnsi="Arial" w:cs="Arial"/>
          <w:b/>
          <w:sz w:val="24"/>
          <w:szCs w:val="24"/>
        </w:rPr>
        <w:t>Consultation</w:t>
      </w:r>
    </w:p>
    <w:p w14:paraId="4BA4908A" w14:textId="77777777" w:rsidR="00685696" w:rsidRPr="003D2B87" w:rsidRDefault="00685696" w:rsidP="00685696">
      <w:pPr>
        <w:pStyle w:val="ListParagraph"/>
        <w:ind w:left="0"/>
        <w:rPr>
          <w:rFonts w:ascii="Arial" w:hAnsi="Arial" w:cs="Arial"/>
          <w:b/>
          <w:sz w:val="24"/>
          <w:szCs w:val="24"/>
        </w:rPr>
      </w:pPr>
    </w:p>
    <w:p w14:paraId="0349E10B" w14:textId="77777777" w:rsidR="00685696" w:rsidRPr="003D2B87" w:rsidRDefault="007F137D" w:rsidP="00685696">
      <w:pPr>
        <w:pStyle w:val="ListParagraph"/>
        <w:ind w:left="0"/>
        <w:rPr>
          <w:rFonts w:ascii="Arial" w:hAnsi="Arial" w:cs="Arial"/>
          <w:sz w:val="24"/>
          <w:szCs w:val="24"/>
        </w:rPr>
      </w:pPr>
      <w:r w:rsidRPr="003D2B87">
        <w:rPr>
          <w:rFonts w:ascii="Arial" w:hAnsi="Arial" w:cs="Arial"/>
          <w:sz w:val="24"/>
          <w:szCs w:val="24"/>
        </w:rPr>
        <w:t xml:space="preserve">A </w:t>
      </w:r>
      <w:r w:rsidR="00592100" w:rsidRPr="003D2B87">
        <w:rPr>
          <w:rFonts w:ascii="Arial" w:hAnsi="Arial" w:cs="Arial"/>
          <w:sz w:val="24"/>
          <w:szCs w:val="24"/>
        </w:rPr>
        <w:t>survey was held with schools from Friday 25</w:t>
      </w:r>
      <w:r w:rsidR="00592100" w:rsidRPr="003D2B87">
        <w:rPr>
          <w:rFonts w:ascii="Arial" w:hAnsi="Arial" w:cs="Arial"/>
          <w:sz w:val="24"/>
          <w:szCs w:val="24"/>
          <w:vertAlign w:val="superscript"/>
        </w:rPr>
        <w:t>th</w:t>
      </w:r>
      <w:r w:rsidR="00592100" w:rsidRPr="003D2B87">
        <w:rPr>
          <w:rFonts w:ascii="Arial" w:hAnsi="Arial" w:cs="Arial"/>
          <w:sz w:val="24"/>
          <w:szCs w:val="24"/>
        </w:rPr>
        <w:t xml:space="preserve"> October to Friday 8</w:t>
      </w:r>
      <w:r w:rsidR="00592100" w:rsidRPr="003D2B87">
        <w:rPr>
          <w:rFonts w:ascii="Arial" w:hAnsi="Arial" w:cs="Arial"/>
          <w:sz w:val="24"/>
          <w:szCs w:val="24"/>
          <w:vertAlign w:val="superscript"/>
        </w:rPr>
        <w:t>th</w:t>
      </w:r>
      <w:r w:rsidR="00592100" w:rsidRPr="003D2B87">
        <w:rPr>
          <w:rFonts w:ascii="Arial" w:hAnsi="Arial" w:cs="Arial"/>
          <w:sz w:val="24"/>
          <w:szCs w:val="24"/>
        </w:rPr>
        <w:t xml:space="preserve"> November. A previous survey was launched on the </w:t>
      </w:r>
      <w:r w:rsidR="00666489" w:rsidRPr="003D2B87">
        <w:rPr>
          <w:rFonts w:ascii="Arial" w:hAnsi="Arial" w:cs="Arial"/>
          <w:sz w:val="24"/>
          <w:szCs w:val="24"/>
        </w:rPr>
        <w:t>Friday 4</w:t>
      </w:r>
      <w:r w:rsidR="00666489" w:rsidRPr="003D2B87">
        <w:rPr>
          <w:rFonts w:ascii="Arial" w:hAnsi="Arial" w:cs="Arial"/>
          <w:sz w:val="24"/>
          <w:szCs w:val="24"/>
          <w:vertAlign w:val="superscript"/>
        </w:rPr>
        <w:t>th</w:t>
      </w:r>
      <w:r w:rsidR="00666489" w:rsidRPr="003D2B87">
        <w:rPr>
          <w:rFonts w:ascii="Arial" w:hAnsi="Arial" w:cs="Arial"/>
          <w:sz w:val="24"/>
          <w:szCs w:val="24"/>
        </w:rPr>
        <w:t xml:space="preserve"> October</w:t>
      </w:r>
      <w:r w:rsidR="00592100" w:rsidRPr="003D2B87">
        <w:rPr>
          <w:rFonts w:ascii="Arial" w:hAnsi="Arial" w:cs="Arial"/>
          <w:sz w:val="24"/>
          <w:szCs w:val="24"/>
        </w:rPr>
        <w:t xml:space="preserve"> but </w:t>
      </w:r>
      <w:r w:rsidR="00666489" w:rsidRPr="003D2B87">
        <w:rPr>
          <w:rFonts w:ascii="Arial" w:hAnsi="Arial" w:cs="Arial"/>
          <w:sz w:val="24"/>
          <w:szCs w:val="24"/>
        </w:rPr>
        <w:t>following the DfE’s 2020/21 National Funding Formula announcement on the 11 October, the Local Authority assessed the new information received and agreed with the Chair of the Schools Forum to withdraw the existing Fair Funding Consultation for 2020/21.</w:t>
      </w:r>
    </w:p>
    <w:p w14:paraId="444B0D7B" w14:textId="77777777" w:rsidR="00592100" w:rsidRPr="003D2B87" w:rsidRDefault="00592100" w:rsidP="00685696">
      <w:pPr>
        <w:pStyle w:val="ListParagraph"/>
        <w:ind w:left="0"/>
        <w:rPr>
          <w:rFonts w:ascii="Arial" w:hAnsi="Arial" w:cs="Arial"/>
          <w:b/>
          <w:sz w:val="24"/>
          <w:szCs w:val="24"/>
        </w:rPr>
      </w:pPr>
    </w:p>
    <w:p w14:paraId="0E510127" w14:textId="584C9A90" w:rsidR="00685696" w:rsidRPr="003D2B87" w:rsidRDefault="0044286C" w:rsidP="00685696">
      <w:pPr>
        <w:pStyle w:val="ListParagraph"/>
        <w:ind w:left="0"/>
        <w:rPr>
          <w:rFonts w:ascii="Arial" w:hAnsi="Arial" w:cs="Arial"/>
          <w:sz w:val="24"/>
          <w:szCs w:val="24"/>
        </w:rPr>
      </w:pPr>
      <w:r w:rsidRPr="003D2B87">
        <w:rPr>
          <w:rFonts w:ascii="Arial" w:hAnsi="Arial" w:cs="Arial"/>
          <w:sz w:val="24"/>
          <w:szCs w:val="24"/>
        </w:rPr>
        <w:t>The Local Authority</w:t>
      </w:r>
      <w:r w:rsidR="00685696" w:rsidRPr="003D2B87">
        <w:rPr>
          <w:rFonts w:ascii="Arial" w:hAnsi="Arial" w:cs="Arial"/>
          <w:sz w:val="24"/>
          <w:szCs w:val="24"/>
        </w:rPr>
        <w:t xml:space="preserve"> received </w:t>
      </w:r>
      <w:r w:rsidR="00ED2BB7" w:rsidRPr="003D2B87">
        <w:rPr>
          <w:rFonts w:ascii="Arial" w:hAnsi="Arial" w:cs="Arial"/>
          <w:sz w:val="24"/>
          <w:szCs w:val="24"/>
        </w:rPr>
        <w:t>8</w:t>
      </w:r>
      <w:r w:rsidR="00024C60">
        <w:rPr>
          <w:rFonts w:ascii="Arial" w:hAnsi="Arial" w:cs="Arial"/>
          <w:sz w:val="24"/>
          <w:szCs w:val="24"/>
        </w:rPr>
        <w:t>6</w:t>
      </w:r>
      <w:r w:rsidR="00ED2BB7" w:rsidRPr="003D2B87">
        <w:rPr>
          <w:rFonts w:ascii="Arial" w:hAnsi="Arial" w:cs="Arial"/>
          <w:sz w:val="24"/>
          <w:szCs w:val="24"/>
        </w:rPr>
        <w:t xml:space="preserve"> completed</w:t>
      </w:r>
      <w:r w:rsidR="00685696" w:rsidRPr="003D2B87">
        <w:rPr>
          <w:rFonts w:ascii="Arial" w:hAnsi="Arial" w:cs="Arial"/>
          <w:sz w:val="24"/>
          <w:szCs w:val="24"/>
        </w:rPr>
        <w:t xml:space="preserve"> responses on th</w:t>
      </w:r>
      <w:r w:rsidR="00087B35" w:rsidRPr="003D2B87">
        <w:rPr>
          <w:rFonts w:ascii="Arial" w:hAnsi="Arial" w:cs="Arial"/>
          <w:sz w:val="24"/>
          <w:szCs w:val="24"/>
        </w:rPr>
        <w:t xml:space="preserve">e survey held with schools, </w:t>
      </w:r>
      <w:r w:rsidR="00ED2BB7" w:rsidRPr="003D2B87">
        <w:rPr>
          <w:rFonts w:ascii="Arial" w:hAnsi="Arial" w:cs="Arial"/>
          <w:sz w:val="24"/>
          <w:szCs w:val="24"/>
        </w:rPr>
        <w:t>69</w:t>
      </w:r>
      <w:r w:rsidR="00685696" w:rsidRPr="003D2B87">
        <w:rPr>
          <w:rFonts w:ascii="Arial" w:hAnsi="Arial" w:cs="Arial"/>
          <w:sz w:val="24"/>
          <w:szCs w:val="24"/>
        </w:rPr>
        <w:t xml:space="preserve"> of the responses were from primary (in</w:t>
      </w:r>
      <w:r w:rsidR="001539F4" w:rsidRPr="003D2B87">
        <w:rPr>
          <w:rFonts w:ascii="Arial" w:hAnsi="Arial" w:cs="Arial"/>
          <w:sz w:val="24"/>
          <w:szCs w:val="24"/>
        </w:rPr>
        <w:t>cluding infant and junior)</w:t>
      </w:r>
      <w:r w:rsidR="00087B35" w:rsidRPr="003D2B87">
        <w:rPr>
          <w:rFonts w:ascii="Arial" w:hAnsi="Arial" w:cs="Arial"/>
          <w:sz w:val="24"/>
          <w:szCs w:val="24"/>
        </w:rPr>
        <w:t xml:space="preserve">, </w:t>
      </w:r>
      <w:r w:rsidR="00ED2BB7" w:rsidRPr="003D2B87">
        <w:rPr>
          <w:rFonts w:ascii="Arial" w:hAnsi="Arial" w:cs="Arial"/>
          <w:sz w:val="24"/>
          <w:szCs w:val="24"/>
        </w:rPr>
        <w:t>10</w:t>
      </w:r>
      <w:r w:rsidR="00685696" w:rsidRPr="003D2B87">
        <w:rPr>
          <w:rFonts w:ascii="Arial" w:hAnsi="Arial" w:cs="Arial"/>
          <w:sz w:val="24"/>
          <w:szCs w:val="24"/>
        </w:rPr>
        <w:t xml:space="preserve"> secondary</w:t>
      </w:r>
      <w:r w:rsidR="00087B35" w:rsidRPr="003D2B87">
        <w:rPr>
          <w:rFonts w:ascii="Arial" w:hAnsi="Arial" w:cs="Arial"/>
          <w:sz w:val="24"/>
          <w:szCs w:val="24"/>
        </w:rPr>
        <w:t xml:space="preserve">, </w:t>
      </w:r>
      <w:r w:rsidR="00ED2BB7" w:rsidRPr="003D2B87">
        <w:rPr>
          <w:rFonts w:ascii="Arial" w:hAnsi="Arial" w:cs="Arial"/>
          <w:sz w:val="24"/>
          <w:szCs w:val="24"/>
        </w:rPr>
        <w:t>0</w:t>
      </w:r>
      <w:r w:rsidR="00685696" w:rsidRPr="003D2B87">
        <w:rPr>
          <w:rFonts w:ascii="Arial" w:hAnsi="Arial" w:cs="Arial"/>
          <w:sz w:val="24"/>
          <w:szCs w:val="24"/>
        </w:rPr>
        <w:t xml:space="preserve"> speci</w:t>
      </w:r>
      <w:r w:rsidR="001539F4" w:rsidRPr="003D2B87">
        <w:rPr>
          <w:rFonts w:ascii="Arial" w:hAnsi="Arial" w:cs="Arial"/>
          <w:sz w:val="24"/>
          <w:szCs w:val="24"/>
        </w:rPr>
        <w:t>al schools</w:t>
      </w:r>
      <w:r w:rsidR="00087B35" w:rsidRPr="003D2B87">
        <w:rPr>
          <w:rFonts w:ascii="Arial" w:hAnsi="Arial" w:cs="Arial"/>
          <w:sz w:val="24"/>
          <w:szCs w:val="24"/>
        </w:rPr>
        <w:t xml:space="preserve"> and the remaining </w:t>
      </w:r>
      <w:r w:rsidR="00024C60">
        <w:rPr>
          <w:rFonts w:ascii="Arial" w:hAnsi="Arial" w:cs="Arial"/>
          <w:sz w:val="24"/>
          <w:szCs w:val="24"/>
        </w:rPr>
        <w:t>7</w:t>
      </w:r>
      <w:r w:rsidR="00685696" w:rsidRPr="003D2B87">
        <w:rPr>
          <w:rFonts w:ascii="Arial" w:hAnsi="Arial" w:cs="Arial"/>
          <w:sz w:val="24"/>
          <w:szCs w:val="24"/>
        </w:rPr>
        <w:t xml:space="preserve"> were recorded as ‘</w:t>
      </w:r>
      <w:r w:rsidR="0062365A" w:rsidRPr="003D2B87">
        <w:rPr>
          <w:rFonts w:ascii="Arial" w:hAnsi="Arial" w:cs="Arial"/>
          <w:sz w:val="24"/>
          <w:szCs w:val="24"/>
        </w:rPr>
        <w:t>O</w:t>
      </w:r>
      <w:r w:rsidR="00685696" w:rsidRPr="003D2B87">
        <w:rPr>
          <w:rFonts w:ascii="Arial" w:hAnsi="Arial" w:cs="Arial"/>
          <w:sz w:val="24"/>
          <w:szCs w:val="24"/>
        </w:rPr>
        <w:t>ther</w:t>
      </w:r>
      <w:r w:rsidR="0046154A" w:rsidRPr="003D2B87">
        <w:rPr>
          <w:rFonts w:ascii="Arial" w:hAnsi="Arial" w:cs="Arial"/>
          <w:sz w:val="24"/>
          <w:szCs w:val="24"/>
        </w:rPr>
        <w:t>/Diocesan Board</w:t>
      </w:r>
      <w:r w:rsidR="00685696" w:rsidRPr="003D2B87">
        <w:rPr>
          <w:rFonts w:ascii="Arial" w:hAnsi="Arial" w:cs="Arial"/>
          <w:sz w:val="24"/>
          <w:szCs w:val="24"/>
        </w:rPr>
        <w:t>’.</w:t>
      </w:r>
    </w:p>
    <w:p w14:paraId="54A5FB00" w14:textId="77777777" w:rsidR="00B31B63" w:rsidRPr="003D2B87" w:rsidRDefault="00B31B63" w:rsidP="00685696">
      <w:pPr>
        <w:pStyle w:val="ListParagraph"/>
        <w:ind w:left="0"/>
        <w:rPr>
          <w:rFonts w:ascii="Arial" w:hAnsi="Arial" w:cs="Arial"/>
          <w:sz w:val="24"/>
          <w:szCs w:val="24"/>
        </w:rPr>
      </w:pPr>
    </w:p>
    <w:p w14:paraId="7E9B13ED" w14:textId="77777777" w:rsidR="00685696" w:rsidRPr="003D2B87" w:rsidRDefault="00341CA9" w:rsidP="00685696">
      <w:pPr>
        <w:pStyle w:val="ListParagraph"/>
        <w:ind w:left="0"/>
        <w:rPr>
          <w:rFonts w:ascii="Arial" w:hAnsi="Arial" w:cs="Arial"/>
          <w:sz w:val="24"/>
          <w:szCs w:val="24"/>
        </w:rPr>
      </w:pPr>
      <w:r w:rsidRPr="003D2B87">
        <w:rPr>
          <w:rFonts w:ascii="Arial" w:hAnsi="Arial" w:cs="Arial"/>
          <w:sz w:val="24"/>
          <w:szCs w:val="24"/>
        </w:rPr>
        <w:t>The overall rank</w:t>
      </w:r>
      <w:r w:rsidR="00464AC8" w:rsidRPr="003D2B87">
        <w:rPr>
          <w:rFonts w:ascii="Arial" w:hAnsi="Arial" w:cs="Arial"/>
          <w:sz w:val="24"/>
          <w:szCs w:val="24"/>
        </w:rPr>
        <w:t>ing</w:t>
      </w:r>
      <w:r w:rsidRPr="003D2B87">
        <w:rPr>
          <w:rFonts w:ascii="Arial" w:hAnsi="Arial" w:cs="Arial"/>
          <w:sz w:val="24"/>
          <w:szCs w:val="24"/>
        </w:rPr>
        <w:t xml:space="preserve"> of the options following consultation is as follows:</w:t>
      </w:r>
    </w:p>
    <w:p w14:paraId="1E585EA4" w14:textId="77777777" w:rsidR="00341CA9" w:rsidRPr="003D2B87" w:rsidRDefault="00341CA9" w:rsidP="00685696">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6091"/>
        <w:gridCol w:w="1842"/>
        <w:gridCol w:w="1083"/>
      </w:tblGrid>
      <w:tr w:rsidR="00664235" w:rsidRPr="003D2B87" w14:paraId="683A569B" w14:textId="77777777" w:rsidTr="009F51B7">
        <w:tc>
          <w:tcPr>
            <w:tcW w:w="6091" w:type="dxa"/>
          </w:tcPr>
          <w:p w14:paraId="3F3370A7" w14:textId="77777777" w:rsidR="00664235" w:rsidRPr="003D2B87" w:rsidRDefault="00664235" w:rsidP="00685696">
            <w:pPr>
              <w:pStyle w:val="ListParagraph"/>
              <w:ind w:left="0"/>
              <w:rPr>
                <w:rFonts w:ascii="Arial" w:hAnsi="Arial" w:cs="Arial"/>
                <w:b/>
                <w:sz w:val="24"/>
                <w:szCs w:val="24"/>
              </w:rPr>
            </w:pPr>
            <w:r w:rsidRPr="003D2B87">
              <w:rPr>
                <w:rFonts w:ascii="Arial" w:hAnsi="Arial" w:cs="Arial"/>
                <w:b/>
                <w:sz w:val="24"/>
                <w:szCs w:val="24"/>
              </w:rPr>
              <w:t>Option</w:t>
            </w:r>
          </w:p>
        </w:tc>
        <w:tc>
          <w:tcPr>
            <w:tcW w:w="1842" w:type="dxa"/>
          </w:tcPr>
          <w:p w14:paraId="33757D8D" w14:textId="77777777" w:rsidR="00664235" w:rsidRPr="003D2B87" w:rsidRDefault="00664235" w:rsidP="00664235">
            <w:pPr>
              <w:pStyle w:val="ListParagraph"/>
              <w:ind w:left="0"/>
              <w:jc w:val="center"/>
              <w:rPr>
                <w:rFonts w:ascii="Arial" w:hAnsi="Arial" w:cs="Arial"/>
                <w:b/>
                <w:sz w:val="24"/>
                <w:szCs w:val="24"/>
              </w:rPr>
            </w:pPr>
            <w:r w:rsidRPr="003D2B87">
              <w:rPr>
                <w:rFonts w:ascii="Arial" w:hAnsi="Arial" w:cs="Arial"/>
                <w:b/>
                <w:sz w:val="24"/>
                <w:szCs w:val="24"/>
              </w:rPr>
              <w:t>Overall Rank</w:t>
            </w:r>
          </w:p>
        </w:tc>
        <w:tc>
          <w:tcPr>
            <w:tcW w:w="1083" w:type="dxa"/>
          </w:tcPr>
          <w:p w14:paraId="3D5E5D9E" w14:textId="77777777" w:rsidR="00664235" w:rsidRPr="003D2B87" w:rsidRDefault="009F51B7" w:rsidP="00664235">
            <w:pPr>
              <w:pStyle w:val="ListParagraph"/>
              <w:ind w:left="0"/>
              <w:jc w:val="center"/>
              <w:rPr>
                <w:rFonts w:ascii="Arial" w:hAnsi="Arial" w:cs="Arial"/>
                <w:b/>
                <w:sz w:val="24"/>
                <w:szCs w:val="24"/>
              </w:rPr>
            </w:pPr>
            <w:r w:rsidRPr="003D2B87">
              <w:rPr>
                <w:rFonts w:ascii="Arial" w:hAnsi="Arial" w:cs="Arial"/>
                <w:b/>
                <w:sz w:val="24"/>
                <w:szCs w:val="24"/>
              </w:rPr>
              <w:t>Votes</w:t>
            </w:r>
          </w:p>
        </w:tc>
      </w:tr>
      <w:tr w:rsidR="00664235" w:rsidRPr="003D2B87" w14:paraId="3FBFDDDD" w14:textId="77777777" w:rsidTr="009F51B7">
        <w:tc>
          <w:tcPr>
            <w:tcW w:w="6091" w:type="dxa"/>
          </w:tcPr>
          <w:p w14:paraId="21195AD7" w14:textId="77777777" w:rsidR="00664235" w:rsidRPr="003D2B87" w:rsidRDefault="002B21A7" w:rsidP="00685696">
            <w:pPr>
              <w:pStyle w:val="ListParagraph"/>
              <w:ind w:left="0"/>
              <w:rPr>
                <w:rFonts w:ascii="Arial" w:hAnsi="Arial" w:cs="Arial"/>
                <w:sz w:val="24"/>
                <w:szCs w:val="24"/>
              </w:rPr>
            </w:pPr>
            <w:r w:rsidRPr="003D2B87">
              <w:rPr>
                <w:rFonts w:ascii="Arial" w:hAnsi="Arial" w:cs="Arial"/>
                <w:sz w:val="24"/>
                <w:szCs w:val="24"/>
              </w:rPr>
              <w:t xml:space="preserve">Option 1 - </w:t>
            </w:r>
            <w:r w:rsidR="00DC2CC9" w:rsidRPr="003D2B87">
              <w:rPr>
                <w:rFonts w:ascii="Arial" w:hAnsi="Arial" w:cs="Arial"/>
                <w:sz w:val="24"/>
                <w:szCs w:val="24"/>
              </w:rPr>
              <w:t>Implementation of the NFF unit rates and methodologies</w:t>
            </w:r>
            <w:r w:rsidRPr="003D2B87">
              <w:rPr>
                <w:rFonts w:ascii="Arial" w:hAnsi="Arial" w:cs="Arial"/>
                <w:sz w:val="24"/>
                <w:szCs w:val="24"/>
              </w:rPr>
              <w:t xml:space="preserve">, with a </w:t>
            </w:r>
            <w:r w:rsidR="00F93DF0" w:rsidRPr="003D2B87">
              <w:rPr>
                <w:rFonts w:ascii="Arial" w:hAnsi="Arial" w:cs="Arial"/>
                <w:sz w:val="24"/>
                <w:szCs w:val="24"/>
              </w:rPr>
              <w:t>0.5% transfer to the High Needs Block</w:t>
            </w:r>
            <w:r w:rsidR="00FF587D" w:rsidRPr="003D2B87">
              <w:rPr>
                <w:rFonts w:ascii="Arial" w:hAnsi="Arial" w:cs="Arial"/>
                <w:sz w:val="24"/>
                <w:szCs w:val="24"/>
              </w:rPr>
              <w:t xml:space="preserve">, </w:t>
            </w:r>
            <w:r w:rsidR="00F93DF0" w:rsidRPr="003D2B87">
              <w:rPr>
                <w:rFonts w:ascii="Arial" w:hAnsi="Arial" w:cs="Arial"/>
                <w:sz w:val="24"/>
                <w:szCs w:val="24"/>
              </w:rPr>
              <w:t>plus a further £2.5m</w:t>
            </w:r>
          </w:p>
        </w:tc>
        <w:tc>
          <w:tcPr>
            <w:tcW w:w="1842" w:type="dxa"/>
          </w:tcPr>
          <w:p w14:paraId="64BEBE79" w14:textId="0DD27296" w:rsidR="00664235" w:rsidRPr="003D2B87" w:rsidRDefault="00024C60" w:rsidP="00664235">
            <w:pPr>
              <w:pStyle w:val="ListParagraph"/>
              <w:ind w:left="0"/>
              <w:jc w:val="center"/>
              <w:rPr>
                <w:rFonts w:ascii="Arial" w:hAnsi="Arial" w:cs="Arial"/>
                <w:sz w:val="24"/>
                <w:szCs w:val="24"/>
              </w:rPr>
            </w:pPr>
            <w:r>
              <w:rPr>
                <w:rFonts w:ascii="Arial" w:hAnsi="Arial" w:cs="Arial"/>
                <w:sz w:val="24"/>
                <w:szCs w:val="24"/>
              </w:rPr>
              <w:t>Joint 2</w:t>
            </w:r>
            <w:r w:rsidRPr="00131DCD">
              <w:rPr>
                <w:rFonts w:ascii="Arial" w:hAnsi="Arial" w:cs="Arial"/>
                <w:sz w:val="24"/>
                <w:szCs w:val="24"/>
                <w:vertAlign w:val="superscript"/>
              </w:rPr>
              <w:t>nd</w:t>
            </w:r>
            <w:r>
              <w:rPr>
                <w:rFonts w:ascii="Arial" w:hAnsi="Arial" w:cs="Arial"/>
                <w:sz w:val="24"/>
                <w:szCs w:val="24"/>
              </w:rPr>
              <w:t xml:space="preserve"> </w:t>
            </w:r>
          </w:p>
        </w:tc>
        <w:tc>
          <w:tcPr>
            <w:tcW w:w="1083" w:type="dxa"/>
          </w:tcPr>
          <w:p w14:paraId="049E1608" w14:textId="77777777" w:rsidR="00664235" w:rsidRPr="003D2B87" w:rsidRDefault="00C14FF4" w:rsidP="00664235">
            <w:pPr>
              <w:pStyle w:val="ListParagraph"/>
              <w:ind w:left="0"/>
              <w:jc w:val="center"/>
              <w:rPr>
                <w:rFonts w:ascii="Arial" w:hAnsi="Arial" w:cs="Arial"/>
                <w:sz w:val="24"/>
                <w:szCs w:val="24"/>
              </w:rPr>
            </w:pPr>
            <w:r w:rsidRPr="003D2B87">
              <w:rPr>
                <w:rFonts w:ascii="Arial" w:hAnsi="Arial" w:cs="Arial"/>
                <w:sz w:val="24"/>
                <w:szCs w:val="24"/>
              </w:rPr>
              <w:t>8</w:t>
            </w:r>
          </w:p>
        </w:tc>
      </w:tr>
      <w:tr w:rsidR="00664235" w:rsidRPr="003D2B87" w14:paraId="4F959EDF" w14:textId="77777777" w:rsidTr="009F51B7">
        <w:tc>
          <w:tcPr>
            <w:tcW w:w="6091" w:type="dxa"/>
          </w:tcPr>
          <w:p w14:paraId="3EAF4086" w14:textId="77777777" w:rsidR="00664235" w:rsidRPr="003D2B87" w:rsidRDefault="002B21A7" w:rsidP="00664235">
            <w:pPr>
              <w:rPr>
                <w:rFonts w:ascii="Arial" w:hAnsi="Arial" w:cs="Arial"/>
                <w:color w:val="000000"/>
                <w:sz w:val="24"/>
                <w:szCs w:val="24"/>
              </w:rPr>
            </w:pPr>
            <w:r w:rsidRPr="003D2B87">
              <w:rPr>
                <w:rFonts w:ascii="Arial" w:hAnsi="Arial" w:cs="Arial"/>
                <w:color w:val="000000"/>
                <w:sz w:val="24"/>
                <w:szCs w:val="24"/>
              </w:rPr>
              <w:t xml:space="preserve">Option 2 - </w:t>
            </w:r>
            <w:r w:rsidR="00DC2CC9" w:rsidRPr="003D2B87">
              <w:rPr>
                <w:rFonts w:ascii="Arial" w:hAnsi="Arial" w:cs="Arial"/>
                <w:color w:val="000000"/>
                <w:sz w:val="24"/>
                <w:szCs w:val="24"/>
              </w:rPr>
              <w:t xml:space="preserve">Implementation of </w:t>
            </w:r>
            <w:r w:rsidRPr="003D2B87">
              <w:rPr>
                <w:rFonts w:ascii="Arial" w:hAnsi="Arial" w:cs="Arial"/>
                <w:color w:val="000000"/>
                <w:sz w:val="24"/>
                <w:szCs w:val="24"/>
              </w:rPr>
              <w:t xml:space="preserve">NFF </w:t>
            </w:r>
            <w:r w:rsidR="00DC2CC9" w:rsidRPr="003D2B87">
              <w:rPr>
                <w:rFonts w:ascii="Arial" w:hAnsi="Arial" w:cs="Arial"/>
                <w:color w:val="000000"/>
                <w:sz w:val="24"/>
                <w:szCs w:val="24"/>
              </w:rPr>
              <w:t xml:space="preserve">unit rates and </w:t>
            </w:r>
            <w:r w:rsidR="007E0F5A" w:rsidRPr="003D2B87">
              <w:rPr>
                <w:rFonts w:ascii="Arial" w:hAnsi="Arial" w:cs="Arial"/>
                <w:color w:val="000000"/>
                <w:sz w:val="24"/>
                <w:szCs w:val="24"/>
              </w:rPr>
              <w:t>methodologies</w:t>
            </w:r>
            <w:r w:rsidRPr="003D2B87">
              <w:rPr>
                <w:rFonts w:ascii="Arial" w:hAnsi="Arial" w:cs="Arial"/>
                <w:color w:val="000000"/>
                <w:sz w:val="24"/>
                <w:szCs w:val="24"/>
              </w:rPr>
              <w:t>,</w:t>
            </w:r>
            <w:r w:rsidR="00F93DF0" w:rsidRPr="003D2B87">
              <w:rPr>
                <w:rFonts w:ascii="Arial" w:hAnsi="Arial" w:cs="Arial"/>
                <w:color w:val="000000"/>
                <w:sz w:val="24"/>
                <w:szCs w:val="24"/>
              </w:rPr>
              <w:t xml:space="preserve"> with a 0.5% transfer to the High Needs Block</w:t>
            </w:r>
          </w:p>
        </w:tc>
        <w:tc>
          <w:tcPr>
            <w:tcW w:w="1842" w:type="dxa"/>
          </w:tcPr>
          <w:p w14:paraId="644B3B54" w14:textId="5D82AA06" w:rsidR="00664235" w:rsidRPr="003D2B87" w:rsidRDefault="00024C60" w:rsidP="00664235">
            <w:pPr>
              <w:pStyle w:val="ListParagraph"/>
              <w:ind w:left="0"/>
              <w:jc w:val="center"/>
              <w:rPr>
                <w:rFonts w:ascii="Arial" w:hAnsi="Arial" w:cs="Arial"/>
                <w:sz w:val="24"/>
                <w:szCs w:val="24"/>
              </w:rPr>
            </w:pPr>
            <w:r>
              <w:rPr>
                <w:rFonts w:ascii="Arial" w:hAnsi="Arial" w:cs="Arial"/>
                <w:sz w:val="24"/>
                <w:szCs w:val="24"/>
              </w:rPr>
              <w:t>Joint 2</w:t>
            </w:r>
            <w:r w:rsidRPr="006E3B91">
              <w:rPr>
                <w:rFonts w:ascii="Arial" w:hAnsi="Arial" w:cs="Arial"/>
                <w:sz w:val="24"/>
                <w:szCs w:val="24"/>
                <w:vertAlign w:val="superscript"/>
              </w:rPr>
              <w:t>nd</w:t>
            </w:r>
            <w:r>
              <w:rPr>
                <w:rFonts w:ascii="Arial" w:hAnsi="Arial" w:cs="Arial"/>
                <w:sz w:val="24"/>
                <w:szCs w:val="24"/>
              </w:rPr>
              <w:t xml:space="preserve"> </w:t>
            </w:r>
          </w:p>
        </w:tc>
        <w:tc>
          <w:tcPr>
            <w:tcW w:w="1083" w:type="dxa"/>
          </w:tcPr>
          <w:p w14:paraId="352FFFE0" w14:textId="78C19798" w:rsidR="00664235" w:rsidRPr="003D2B87" w:rsidRDefault="00024C60" w:rsidP="00664235">
            <w:pPr>
              <w:pStyle w:val="ListParagraph"/>
              <w:ind w:left="0"/>
              <w:jc w:val="center"/>
              <w:rPr>
                <w:rFonts w:ascii="Arial" w:hAnsi="Arial" w:cs="Arial"/>
                <w:sz w:val="24"/>
                <w:szCs w:val="24"/>
              </w:rPr>
            </w:pPr>
            <w:r>
              <w:rPr>
                <w:rFonts w:ascii="Arial" w:hAnsi="Arial" w:cs="Arial"/>
                <w:sz w:val="24"/>
                <w:szCs w:val="24"/>
              </w:rPr>
              <w:t>8</w:t>
            </w:r>
          </w:p>
          <w:p w14:paraId="0D77FF9B" w14:textId="77777777" w:rsidR="00C14FF4" w:rsidRPr="003D2B87" w:rsidRDefault="00C14FF4" w:rsidP="00664235">
            <w:pPr>
              <w:pStyle w:val="ListParagraph"/>
              <w:ind w:left="0"/>
              <w:jc w:val="center"/>
              <w:rPr>
                <w:rFonts w:ascii="Arial" w:hAnsi="Arial" w:cs="Arial"/>
                <w:sz w:val="24"/>
                <w:szCs w:val="24"/>
              </w:rPr>
            </w:pPr>
          </w:p>
        </w:tc>
      </w:tr>
      <w:tr w:rsidR="00664235" w:rsidRPr="003D2B87" w14:paraId="7A6E8B2A" w14:textId="77777777" w:rsidTr="009F51B7">
        <w:tc>
          <w:tcPr>
            <w:tcW w:w="6091" w:type="dxa"/>
          </w:tcPr>
          <w:p w14:paraId="39FCA861" w14:textId="77777777" w:rsidR="00664235" w:rsidRPr="003D2B87" w:rsidRDefault="002B21A7" w:rsidP="00664235">
            <w:pPr>
              <w:rPr>
                <w:rFonts w:ascii="Arial" w:hAnsi="Arial" w:cs="Arial"/>
                <w:color w:val="000000"/>
                <w:sz w:val="24"/>
                <w:szCs w:val="24"/>
              </w:rPr>
            </w:pPr>
            <w:r w:rsidRPr="003D2B87">
              <w:rPr>
                <w:rFonts w:ascii="Arial" w:hAnsi="Arial" w:cs="Arial"/>
                <w:color w:val="000000"/>
                <w:sz w:val="24"/>
                <w:szCs w:val="24"/>
              </w:rPr>
              <w:t>Option 3</w:t>
            </w:r>
            <w:r w:rsidR="00FF587D" w:rsidRPr="003D2B87">
              <w:rPr>
                <w:rFonts w:ascii="Arial" w:hAnsi="Arial" w:cs="Arial"/>
                <w:color w:val="000000"/>
                <w:sz w:val="24"/>
                <w:szCs w:val="24"/>
              </w:rPr>
              <w:t xml:space="preserve"> – </w:t>
            </w:r>
            <w:r w:rsidR="00DC2CC9" w:rsidRPr="003D2B87">
              <w:rPr>
                <w:rFonts w:ascii="Arial" w:hAnsi="Arial" w:cs="Arial"/>
                <w:color w:val="000000"/>
                <w:sz w:val="24"/>
                <w:szCs w:val="24"/>
              </w:rPr>
              <w:t xml:space="preserve">Implementation of the </w:t>
            </w:r>
            <w:r w:rsidR="00FF587D" w:rsidRPr="003D2B87">
              <w:rPr>
                <w:rFonts w:ascii="Arial" w:hAnsi="Arial" w:cs="Arial"/>
                <w:color w:val="000000"/>
                <w:sz w:val="24"/>
                <w:szCs w:val="24"/>
              </w:rPr>
              <w:t xml:space="preserve">NFF </w:t>
            </w:r>
            <w:r w:rsidR="00DC2CC9" w:rsidRPr="003D2B87">
              <w:rPr>
                <w:rFonts w:ascii="Arial" w:hAnsi="Arial" w:cs="Arial"/>
                <w:color w:val="000000"/>
                <w:sz w:val="24"/>
                <w:szCs w:val="24"/>
              </w:rPr>
              <w:t xml:space="preserve">unit rates and </w:t>
            </w:r>
            <w:r w:rsidR="007E0F5A" w:rsidRPr="003D2B87">
              <w:rPr>
                <w:rFonts w:ascii="Arial" w:hAnsi="Arial" w:cs="Arial"/>
                <w:color w:val="000000"/>
                <w:sz w:val="24"/>
                <w:szCs w:val="24"/>
              </w:rPr>
              <w:t>methodologies</w:t>
            </w:r>
          </w:p>
        </w:tc>
        <w:tc>
          <w:tcPr>
            <w:tcW w:w="1842" w:type="dxa"/>
          </w:tcPr>
          <w:p w14:paraId="2CD46323" w14:textId="3C173DDB" w:rsidR="00664235" w:rsidRPr="003D2B87" w:rsidRDefault="00C14FF4" w:rsidP="00664235">
            <w:pPr>
              <w:pStyle w:val="ListParagraph"/>
              <w:ind w:left="0"/>
              <w:jc w:val="center"/>
              <w:rPr>
                <w:rFonts w:ascii="Arial" w:hAnsi="Arial" w:cs="Arial"/>
                <w:sz w:val="24"/>
                <w:szCs w:val="24"/>
              </w:rPr>
            </w:pPr>
            <w:r w:rsidRPr="003D2B87">
              <w:rPr>
                <w:rFonts w:ascii="Arial" w:hAnsi="Arial" w:cs="Arial"/>
                <w:sz w:val="24"/>
                <w:szCs w:val="24"/>
              </w:rPr>
              <w:t>1</w:t>
            </w:r>
            <w:r w:rsidR="00024C60" w:rsidRPr="00131DCD">
              <w:rPr>
                <w:rFonts w:ascii="Arial" w:hAnsi="Arial" w:cs="Arial"/>
                <w:sz w:val="24"/>
                <w:szCs w:val="24"/>
                <w:vertAlign w:val="superscript"/>
              </w:rPr>
              <w:t>st</w:t>
            </w:r>
            <w:r w:rsidR="00024C60">
              <w:rPr>
                <w:rFonts w:ascii="Arial" w:hAnsi="Arial" w:cs="Arial"/>
                <w:sz w:val="24"/>
                <w:szCs w:val="24"/>
              </w:rPr>
              <w:t xml:space="preserve"> </w:t>
            </w:r>
          </w:p>
        </w:tc>
        <w:tc>
          <w:tcPr>
            <w:tcW w:w="1083" w:type="dxa"/>
          </w:tcPr>
          <w:p w14:paraId="6AEBFDA5" w14:textId="35E1A63E" w:rsidR="00664235" w:rsidRPr="003D2B87" w:rsidRDefault="00C14FF4" w:rsidP="00664235">
            <w:pPr>
              <w:pStyle w:val="ListParagraph"/>
              <w:ind w:left="0"/>
              <w:jc w:val="center"/>
              <w:rPr>
                <w:rFonts w:ascii="Arial" w:hAnsi="Arial" w:cs="Arial"/>
                <w:sz w:val="24"/>
                <w:szCs w:val="24"/>
              </w:rPr>
            </w:pPr>
            <w:r w:rsidRPr="003D2B87">
              <w:rPr>
                <w:rFonts w:ascii="Arial" w:hAnsi="Arial" w:cs="Arial"/>
                <w:sz w:val="24"/>
                <w:szCs w:val="24"/>
              </w:rPr>
              <w:t>7</w:t>
            </w:r>
            <w:r w:rsidR="00024C60">
              <w:rPr>
                <w:rFonts w:ascii="Arial" w:hAnsi="Arial" w:cs="Arial"/>
                <w:sz w:val="24"/>
                <w:szCs w:val="24"/>
              </w:rPr>
              <w:t>0</w:t>
            </w:r>
          </w:p>
        </w:tc>
      </w:tr>
    </w:tbl>
    <w:p w14:paraId="7DDDBD92" w14:textId="77777777" w:rsidR="00341CA9" w:rsidRPr="003D2B87" w:rsidRDefault="00341CA9" w:rsidP="00685696">
      <w:pPr>
        <w:pStyle w:val="ListParagraph"/>
        <w:ind w:left="0"/>
        <w:rPr>
          <w:rFonts w:ascii="Arial" w:hAnsi="Arial" w:cs="Arial"/>
          <w:sz w:val="24"/>
          <w:szCs w:val="24"/>
        </w:rPr>
      </w:pPr>
    </w:p>
    <w:p w14:paraId="3EBE78DC" w14:textId="77777777" w:rsidR="00B31B63" w:rsidRPr="003D2B87" w:rsidRDefault="00B31B63" w:rsidP="00685696">
      <w:pPr>
        <w:pStyle w:val="ListParagraph"/>
        <w:ind w:left="0"/>
        <w:rPr>
          <w:rFonts w:ascii="Arial" w:hAnsi="Arial" w:cs="Arial"/>
          <w:sz w:val="24"/>
          <w:szCs w:val="24"/>
        </w:rPr>
      </w:pPr>
      <w:r w:rsidRPr="003D2B87">
        <w:rPr>
          <w:rFonts w:ascii="Arial" w:hAnsi="Arial" w:cs="Arial"/>
          <w:sz w:val="24"/>
          <w:szCs w:val="24"/>
        </w:rPr>
        <w:t>There was a stronger preference for</w:t>
      </w:r>
      <w:r w:rsidR="007E0F5A" w:rsidRPr="003D2B87">
        <w:rPr>
          <w:rFonts w:ascii="Arial" w:hAnsi="Arial" w:cs="Arial"/>
          <w:sz w:val="24"/>
          <w:szCs w:val="24"/>
        </w:rPr>
        <w:t xml:space="preserve"> Option 3, implementing the NFF unit </w:t>
      </w:r>
      <w:r w:rsidR="00A04D59" w:rsidRPr="003D2B87">
        <w:rPr>
          <w:rFonts w:ascii="Arial" w:hAnsi="Arial" w:cs="Arial"/>
          <w:sz w:val="24"/>
          <w:szCs w:val="24"/>
        </w:rPr>
        <w:t>rates and methodologies without the transfer of any funding from the Schools Block to High Needs Block.</w:t>
      </w:r>
    </w:p>
    <w:p w14:paraId="2C2F5C46" w14:textId="77777777" w:rsidR="002B21A7" w:rsidRPr="003D2B87" w:rsidRDefault="002B21A7" w:rsidP="00685696">
      <w:pPr>
        <w:pStyle w:val="ListParagraph"/>
        <w:ind w:left="0"/>
        <w:rPr>
          <w:rFonts w:ascii="Arial" w:hAnsi="Arial" w:cs="Arial"/>
          <w:sz w:val="24"/>
          <w:szCs w:val="24"/>
        </w:rPr>
      </w:pPr>
    </w:p>
    <w:p w14:paraId="2FF3C6CB" w14:textId="77777777" w:rsidR="00B31B63" w:rsidRPr="003D2B87" w:rsidRDefault="00B31B63" w:rsidP="00685696">
      <w:pPr>
        <w:pStyle w:val="ListParagraph"/>
        <w:ind w:left="0"/>
        <w:rPr>
          <w:rFonts w:ascii="Arial" w:hAnsi="Arial" w:cs="Arial"/>
          <w:sz w:val="24"/>
          <w:szCs w:val="24"/>
        </w:rPr>
      </w:pPr>
      <w:r w:rsidRPr="003D2B87">
        <w:rPr>
          <w:rFonts w:ascii="Arial" w:hAnsi="Arial" w:cs="Arial"/>
          <w:sz w:val="24"/>
          <w:szCs w:val="24"/>
        </w:rPr>
        <w:t>Below is a summary of the consultation responses.</w:t>
      </w:r>
    </w:p>
    <w:p w14:paraId="361E19A9" w14:textId="77777777" w:rsidR="00B31B63" w:rsidRPr="003D2B87" w:rsidRDefault="00B31B63" w:rsidP="00685696">
      <w:pPr>
        <w:pStyle w:val="ListParagraph"/>
        <w:ind w:left="0"/>
        <w:rPr>
          <w:rFonts w:ascii="Arial" w:hAnsi="Arial" w:cs="Arial"/>
          <w:sz w:val="24"/>
          <w:szCs w:val="24"/>
        </w:rPr>
      </w:pPr>
    </w:p>
    <w:p w14:paraId="3BCB3FE9" w14:textId="77777777" w:rsidR="00D844D6" w:rsidRPr="003D2B87" w:rsidRDefault="00D844D6" w:rsidP="007C252A">
      <w:pPr>
        <w:spacing w:after="0" w:line="240" w:lineRule="auto"/>
        <w:rPr>
          <w:rFonts w:ascii="Arial" w:eastAsia="Times New Roman" w:hAnsi="Arial" w:cs="Arial"/>
          <w:sz w:val="24"/>
          <w:szCs w:val="24"/>
          <w:lang w:eastAsia="en-GB"/>
        </w:rPr>
      </w:pPr>
    </w:p>
    <w:p w14:paraId="7F5FAD79" w14:textId="77777777" w:rsidR="00B31B63" w:rsidRPr="003D2B87" w:rsidRDefault="00B31B63" w:rsidP="00B31B63">
      <w:pPr>
        <w:rPr>
          <w:rFonts w:ascii="Arial" w:hAnsi="Arial" w:cs="Arial"/>
          <w:b/>
          <w:sz w:val="24"/>
          <w:szCs w:val="24"/>
        </w:rPr>
      </w:pPr>
      <w:r w:rsidRPr="003D2B87">
        <w:rPr>
          <w:rFonts w:ascii="Arial" w:hAnsi="Arial" w:cs="Arial"/>
          <w:b/>
          <w:sz w:val="24"/>
          <w:szCs w:val="24"/>
        </w:rPr>
        <w:t>Summary of comments in favour of moving funding to the High Needs Block.</w:t>
      </w:r>
    </w:p>
    <w:p w14:paraId="148F0760" w14:textId="77777777" w:rsidR="00566DEC" w:rsidRPr="003D2B87" w:rsidRDefault="00A04D59" w:rsidP="00B31B63">
      <w:pPr>
        <w:rPr>
          <w:rFonts w:ascii="Arial" w:hAnsi="Arial" w:cs="Arial"/>
          <w:sz w:val="24"/>
          <w:szCs w:val="24"/>
        </w:rPr>
      </w:pPr>
      <w:r w:rsidRPr="003D2B87">
        <w:rPr>
          <w:rFonts w:ascii="Arial" w:hAnsi="Arial" w:cs="Arial"/>
          <w:sz w:val="24"/>
          <w:szCs w:val="24"/>
        </w:rPr>
        <w:t>‘Priority needs to be given to clearing the High Needs deficit’</w:t>
      </w:r>
    </w:p>
    <w:p w14:paraId="4E1AB0A3" w14:textId="77777777" w:rsidR="00A04D59" w:rsidRPr="003D2B87" w:rsidRDefault="00A04D59" w:rsidP="00B31B63">
      <w:pPr>
        <w:rPr>
          <w:rFonts w:ascii="Arial" w:hAnsi="Arial" w:cs="Arial"/>
          <w:sz w:val="24"/>
          <w:szCs w:val="24"/>
        </w:rPr>
      </w:pPr>
      <w:r w:rsidRPr="003D2B87">
        <w:rPr>
          <w:rFonts w:ascii="Arial" w:hAnsi="Arial" w:cs="Arial"/>
          <w:sz w:val="24"/>
          <w:szCs w:val="24"/>
        </w:rPr>
        <w:t xml:space="preserve">‘We understand the rationale behind the need for an increased transfer to the High Needs Block in addition to the 0.5%. In the interests of responsible financial management and with the proposed increase in funding from Central Government, this seems an ideal opportunity to remove in-year deficits and a cumulative deficit. </w:t>
      </w:r>
      <w:r w:rsidRPr="003D2B87">
        <w:rPr>
          <w:rFonts w:ascii="Arial" w:hAnsi="Arial" w:cs="Arial"/>
          <w:sz w:val="24"/>
          <w:szCs w:val="24"/>
        </w:rPr>
        <w:lastRenderedPageBreak/>
        <w:t>We hope that the aim is then that mainstream schools will no longer need to top up HN funding and can instead use that money to focus on providing for HN children within their schools, thus reducing the number of children needing places at Special Schools.’</w:t>
      </w:r>
    </w:p>
    <w:p w14:paraId="70F730FB" w14:textId="77777777" w:rsidR="00A04D59" w:rsidRPr="003D2B87" w:rsidRDefault="00A04D59" w:rsidP="00B31B63">
      <w:pPr>
        <w:rPr>
          <w:rFonts w:ascii="Arial" w:hAnsi="Arial" w:cs="Arial"/>
          <w:sz w:val="24"/>
          <w:szCs w:val="24"/>
        </w:rPr>
      </w:pPr>
      <w:r w:rsidRPr="003D2B87">
        <w:rPr>
          <w:rFonts w:ascii="Arial" w:hAnsi="Arial" w:cs="Arial"/>
          <w:sz w:val="24"/>
          <w:szCs w:val="24"/>
        </w:rPr>
        <w:t>‘Norfolk's SEND resources are too stretched to tackle school support and higher than average exclusions’</w:t>
      </w:r>
    </w:p>
    <w:p w14:paraId="561F103B" w14:textId="77777777" w:rsidR="00A04D59" w:rsidRPr="003D2B87" w:rsidRDefault="00A04D59" w:rsidP="00A04D59">
      <w:pPr>
        <w:spacing w:after="0" w:line="240" w:lineRule="auto"/>
        <w:rPr>
          <w:rFonts w:ascii="Arial" w:hAnsi="Arial" w:cs="Arial"/>
          <w:sz w:val="24"/>
          <w:szCs w:val="24"/>
        </w:rPr>
      </w:pPr>
      <w:r w:rsidRPr="003D2B87">
        <w:rPr>
          <w:rFonts w:ascii="Arial" w:hAnsi="Arial" w:cs="Arial"/>
          <w:sz w:val="24"/>
          <w:szCs w:val="24"/>
        </w:rPr>
        <w:t>‘This seems to be the most equitable solution bearing in mind the challenge to address high need funding and provision in Norfolk.</w:t>
      </w:r>
    </w:p>
    <w:p w14:paraId="00BE9BCD" w14:textId="77777777" w:rsidR="00584CD0" w:rsidRPr="003D2B87" w:rsidRDefault="00A04D59" w:rsidP="00A04D59">
      <w:pPr>
        <w:spacing w:after="0" w:line="240" w:lineRule="auto"/>
        <w:rPr>
          <w:rFonts w:ascii="Arial" w:hAnsi="Arial" w:cs="Arial"/>
          <w:sz w:val="24"/>
          <w:szCs w:val="24"/>
        </w:rPr>
      </w:pPr>
      <w:r w:rsidRPr="003D2B87">
        <w:rPr>
          <w:rFonts w:ascii="Arial" w:hAnsi="Arial" w:cs="Arial"/>
          <w:sz w:val="24"/>
          <w:szCs w:val="24"/>
        </w:rPr>
        <w:t>However, we appreciate that we will continue to struggle to meet the needs of mainstream pupils in our schools because of reduced funding. Making the decision to support this option has been very difficult as it comes at a cost to our children's education and wellbeing, which is the primary responsibility of the LA.’</w:t>
      </w:r>
    </w:p>
    <w:p w14:paraId="2B6BBE52" w14:textId="77777777" w:rsidR="00815B82" w:rsidRPr="003D2B87" w:rsidRDefault="00815B82" w:rsidP="00A04D59">
      <w:pPr>
        <w:spacing w:after="0" w:line="240" w:lineRule="auto"/>
        <w:rPr>
          <w:rFonts w:ascii="Arial" w:hAnsi="Arial" w:cs="Arial"/>
          <w:sz w:val="24"/>
          <w:szCs w:val="24"/>
        </w:rPr>
      </w:pPr>
    </w:p>
    <w:p w14:paraId="5F712821" w14:textId="77777777" w:rsidR="00815B82" w:rsidRPr="003D2B87" w:rsidRDefault="00815B82" w:rsidP="00815B82">
      <w:pPr>
        <w:spacing w:after="0" w:line="240" w:lineRule="auto"/>
        <w:rPr>
          <w:rFonts w:ascii="Arial" w:hAnsi="Arial" w:cs="Arial"/>
          <w:sz w:val="24"/>
          <w:szCs w:val="24"/>
        </w:rPr>
      </w:pPr>
      <w:r w:rsidRPr="003D2B87">
        <w:rPr>
          <w:rFonts w:ascii="Arial" w:hAnsi="Arial" w:cs="Arial"/>
          <w:sz w:val="24"/>
          <w:szCs w:val="24"/>
        </w:rPr>
        <w:t xml:space="preserve">‘This option </w:t>
      </w:r>
      <w:r w:rsidR="007A60A6" w:rsidRPr="003D2B87">
        <w:rPr>
          <w:rFonts w:ascii="Arial" w:hAnsi="Arial" w:cs="Arial"/>
          <w:sz w:val="24"/>
          <w:szCs w:val="24"/>
        </w:rPr>
        <w:t xml:space="preserve">[Option 1] </w:t>
      </w:r>
      <w:r w:rsidRPr="003D2B87">
        <w:rPr>
          <w:rFonts w:ascii="Arial" w:hAnsi="Arial" w:cs="Arial"/>
          <w:sz w:val="24"/>
          <w:szCs w:val="24"/>
        </w:rPr>
        <w:t>also allows for the largest transfer between DSG and the High Needs Block.  We experience first-hand the pressures of not being funded correctly for students that have high SEN requirements so this movement in funding would be welcomed.</w:t>
      </w:r>
      <w:r w:rsidR="003D2B87" w:rsidRPr="003D2B87">
        <w:rPr>
          <w:rFonts w:ascii="Arial" w:hAnsi="Arial" w:cs="Arial"/>
          <w:sz w:val="24"/>
          <w:szCs w:val="24"/>
        </w:rPr>
        <w:t xml:space="preserve">  </w:t>
      </w:r>
      <w:r w:rsidRPr="003D2B87">
        <w:rPr>
          <w:rFonts w:ascii="Arial" w:hAnsi="Arial" w:cs="Arial"/>
          <w:sz w:val="24"/>
          <w:szCs w:val="24"/>
        </w:rPr>
        <w:t>This model will also allow the LA to fully implement their transformational project, which could lead to a better support structure for students at risk of permanent exclusion plus a more equitable approach to SEN.’</w:t>
      </w:r>
    </w:p>
    <w:p w14:paraId="131D6540" w14:textId="77777777" w:rsidR="00B26AB4" w:rsidRPr="003D2B87" w:rsidRDefault="00B26AB4" w:rsidP="00B26AB4">
      <w:pPr>
        <w:spacing w:after="0" w:line="240" w:lineRule="auto"/>
        <w:rPr>
          <w:rFonts w:ascii="Arial" w:eastAsia="Times New Roman" w:hAnsi="Arial" w:cs="Arial"/>
          <w:sz w:val="24"/>
          <w:szCs w:val="24"/>
          <w:lang w:eastAsia="en-GB"/>
        </w:rPr>
      </w:pPr>
    </w:p>
    <w:p w14:paraId="69C20F94" w14:textId="77777777" w:rsidR="007A60A6" w:rsidRPr="003D2B87" w:rsidRDefault="007A60A6" w:rsidP="00B26AB4">
      <w:pPr>
        <w:spacing w:after="0" w:line="240" w:lineRule="auto"/>
        <w:rPr>
          <w:rFonts w:ascii="Arial" w:eastAsia="Times New Roman" w:hAnsi="Arial" w:cs="Arial"/>
          <w:sz w:val="24"/>
          <w:szCs w:val="24"/>
          <w:lang w:eastAsia="en-GB"/>
        </w:rPr>
      </w:pPr>
      <w:r w:rsidRPr="003D2B87">
        <w:rPr>
          <w:rFonts w:ascii="Arial" w:eastAsia="Times New Roman" w:hAnsi="Arial" w:cs="Arial"/>
          <w:sz w:val="24"/>
          <w:szCs w:val="24"/>
          <w:lang w:eastAsia="en-GB"/>
        </w:rPr>
        <w:t>‘Option 2 is the fairest option, as it ensures that mainstream schools receive much-needed additional funds to enable them to adequately support SEND pupils, but at the same time the overspend is paid off.’</w:t>
      </w:r>
    </w:p>
    <w:p w14:paraId="54DC9DF8" w14:textId="77777777" w:rsidR="007A60A6" w:rsidRPr="003D2B87" w:rsidRDefault="007A60A6" w:rsidP="00B26AB4">
      <w:pPr>
        <w:spacing w:after="0" w:line="240" w:lineRule="auto"/>
        <w:rPr>
          <w:rFonts w:ascii="Arial" w:eastAsia="Times New Roman" w:hAnsi="Arial" w:cs="Arial"/>
          <w:sz w:val="24"/>
          <w:szCs w:val="24"/>
          <w:lang w:eastAsia="en-GB"/>
        </w:rPr>
      </w:pPr>
    </w:p>
    <w:p w14:paraId="2EA520F1" w14:textId="77777777" w:rsidR="007A60A6" w:rsidRPr="003D2B87" w:rsidRDefault="007A60A6" w:rsidP="00B26AB4">
      <w:pPr>
        <w:spacing w:after="0" w:line="240" w:lineRule="auto"/>
        <w:rPr>
          <w:rFonts w:ascii="Arial" w:eastAsia="Times New Roman" w:hAnsi="Arial" w:cs="Arial"/>
          <w:sz w:val="24"/>
          <w:szCs w:val="24"/>
          <w:lang w:eastAsia="en-GB"/>
        </w:rPr>
      </w:pPr>
    </w:p>
    <w:p w14:paraId="0FED7BF8" w14:textId="77777777" w:rsidR="00B31B63" w:rsidRPr="003D2B87" w:rsidRDefault="00B31B63" w:rsidP="00B31B63">
      <w:pPr>
        <w:rPr>
          <w:rFonts w:ascii="Arial" w:hAnsi="Arial" w:cs="Arial"/>
          <w:b/>
          <w:sz w:val="24"/>
          <w:szCs w:val="24"/>
        </w:rPr>
      </w:pPr>
      <w:r w:rsidRPr="003D2B87">
        <w:rPr>
          <w:rFonts w:ascii="Arial" w:hAnsi="Arial" w:cs="Arial"/>
          <w:b/>
          <w:sz w:val="24"/>
          <w:szCs w:val="24"/>
        </w:rPr>
        <w:t>Summary of comments against movement of funding to the High Needs Block.</w:t>
      </w:r>
    </w:p>
    <w:p w14:paraId="24B99856" w14:textId="77777777" w:rsidR="00540FC9" w:rsidRPr="003D2B87" w:rsidRDefault="007A60A6" w:rsidP="00B31B63">
      <w:pPr>
        <w:rPr>
          <w:rFonts w:ascii="Arial" w:hAnsi="Arial" w:cs="Arial"/>
          <w:sz w:val="24"/>
          <w:szCs w:val="24"/>
        </w:rPr>
      </w:pPr>
      <w:r w:rsidRPr="003D2B87">
        <w:rPr>
          <w:rFonts w:ascii="Arial" w:hAnsi="Arial" w:cs="Arial"/>
          <w:sz w:val="24"/>
          <w:szCs w:val="24"/>
        </w:rPr>
        <w:t>‘The National Funding Formula should be implemented fully without additional top-slicing. This will ensure fairer levels of funding for individual schools who are currently underfunded. When schools were consulted last year, there was no indication that further transfers of funds from Schools Block to High Needs may be made this year. Removing funds from individual schools clearly reduces their capacity to meet the needs of pupils on roll.’</w:t>
      </w:r>
    </w:p>
    <w:p w14:paraId="7F15DA67" w14:textId="77777777" w:rsidR="00540FC9" w:rsidRPr="003D2B87" w:rsidRDefault="007A60A6" w:rsidP="007A60A6">
      <w:pPr>
        <w:rPr>
          <w:rFonts w:ascii="Arial" w:hAnsi="Arial" w:cs="Arial"/>
          <w:sz w:val="24"/>
          <w:szCs w:val="24"/>
        </w:rPr>
      </w:pPr>
      <w:r w:rsidRPr="003D2B87">
        <w:rPr>
          <w:rFonts w:ascii="Arial" w:hAnsi="Arial" w:cs="Arial"/>
          <w:sz w:val="24"/>
          <w:szCs w:val="24"/>
        </w:rPr>
        <w:t>‘We do not believe that Norfolk’s repayment plan has enough evidence or validity to support the transfer of additional funds to the High Needs Black at a time when schools are faced with unprecedented uncertainty in funding.  This is a particularly an issue for small schools within Norfolk with under 80 students.</w:t>
      </w:r>
      <w:r w:rsidR="003D2B87" w:rsidRPr="003D2B87">
        <w:rPr>
          <w:rFonts w:ascii="Arial" w:hAnsi="Arial" w:cs="Arial"/>
          <w:sz w:val="24"/>
          <w:szCs w:val="24"/>
        </w:rPr>
        <w:t xml:space="preserve">  </w:t>
      </w:r>
      <w:r w:rsidRPr="003D2B87">
        <w:rPr>
          <w:rFonts w:ascii="Arial" w:hAnsi="Arial" w:cs="Arial"/>
          <w:sz w:val="24"/>
          <w:szCs w:val="24"/>
        </w:rPr>
        <w:t>Option 3 would allow all schools to receive the maximum funding available therefore providing more financial certainty; impacting financial decision making, particularly staffing.’</w:t>
      </w:r>
    </w:p>
    <w:p w14:paraId="0468A658" w14:textId="77777777" w:rsidR="007A60A6" w:rsidRPr="003D2B87" w:rsidRDefault="007A60A6" w:rsidP="007A60A6">
      <w:pPr>
        <w:rPr>
          <w:rFonts w:ascii="Arial" w:hAnsi="Arial" w:cs="Arial"/>
          <w:sz w:val="24"/>
          <w:szCs w:val="24"/>
        </w:rPr>
      </w:pPr>
      <w:r w:rsidRPr="003D2B87">
        <w:rPr>
          <w:rFonts w:ascii="Arial" w:hAnsi="Arial" w:cs="Arial"/>
          <w:sz w:val="24"/>
          <w:szCs w:val="24"/>
        </w:rPr>
        <w:t>‘The financial impact of option 1 would leave this school requiring to make staff redundant. Last year I supported the move of extra money to the high needs block based on it being for 1 year. With the financial strains on schools I cannot support that this year. With greater funding in schools I would believe that we could support the high needs pupils in schools better hence not requiring the High Needs block to the same extent- (Proactive work rather than reactive work).’</w:t>
      </w:r>
    </w:p>
    <w:p w14:paraId="3DC23A70" w14:textId="77777777" w:rsidR="007A60A6" w:rsidRPr="003D2B87" w:rsidRDefault="007A60A6" w:rsidP="007A60A6">
      <w:pPr>
        <w:rPr>
          <w:rFonts w:ascii="Arial" w:hAnsi="Arial" w:cs="Arial"/>
          <w:sz w:val="24"/>
          <w:szCs w:val="24"/>
        </w:rPr>
      </w:pPr>
      <w:r w:rsidRPr="003D2B87">
        <w:rPr>
          <w:rFonts w:ascii="Arial" w:hAnsi="Arial" w:cs="Arial"/>
          <w:sz w:val="24"/>
          <w:szCs w:val="24"/>
        </w:rPr>
        <w:lastRenderedPageBreak/>
        <w:t>‘On-going contributions are unsustainably propping the HNB. This cannot continue to happen when school budgets are so pushed in all other areas. The % increase from central government funding is also now greater and therefore the total amount allocated to the HNB from government will be increased. Schools should not be expected to do this when they do not have the funds they needs themselves’</w:t>
      </w:r>
    </w:p>
    <w:p w14:paraId="5F48A491" w14:textId="77777777" w:rsidR="007A60A6" w:rsidRPr="003D2B87" w:rsidRDefault="007A60A6" w:rsidP="007A60A6">
      <w:pPr>
        <w:rPr>
          <w:rFonts w:ascii="Arial" w:hAnsi="Arial" w:cs="Arial"/>
          <w:sz w:val="24"/>
          <w:szCs w:val="24"/>
        </w:rPr>
      </w:pPr>
      <w:r w:rsidRPr="003D2B87">
        <w:rPr>
          <w:rFonts w:ascii="Arial" w:hAnsi="Arial" w:cs="Arial"/>
          <w:sz w:val="24"/>
          <w:szCs w:val="24"/>
        </w:rPr>
        <w:t>‘Schools must receive the full benefit of any funding increases offered.’</w:t>
      </w:r>
    </w:p>
    <w:p w14:paraId="00DE2C44" w14:textId="77777777" w:rsidR="007A60A6" w:rsidRPr="003D2B87" w:rsidRDefault="007A60A6" w:rsidP="007A60A6">
      <w:pPr>
        <w:rPr>
          <w:rFonts w:ascii="Arial" w:hAnsi="Arial" w:cs="Arial"/>
          <w:sz w:val="24"/>
          <w:szCs w:val="24"/>
        </w:rPr>
      </w:pPr>
      <w:r w:rsidRPr="003D2B87">
        <w:rPr>
          <w:rFonts w:ascii="Arial" w:hAnsi="Arial" w:cs="Arial"/>
          <w:sz w:val="24"/>
          <w:szCs w:val="24"/>
        </w:rPr>
        <w:t>‘While we understand the rationale behind the need to support High Needs, we are very concerned that so much funding that is really for Schools, is being siphoned off. Special Needs in Primary schools, in particular, is not being supported adequately. Primary schools are having to use considerable funds from their general budget to support EHCP's as the finding from the LA does not cover the support required/described as part of the plan. This siphoning off from school budgets has been happening in many local authorities and should not be happening, particularly to the degree you are suggesting in option 1. Head Teachers across the country, where this is happening, have registered their extreme concern and this is what we are doing.’</w:t>
      </w:r>
    </w:p>
    <w:p w14:paraId="6654DB28" w14:textId="77777777" w:rsidR="007A60A6" w:rsidRPr="003D2B87" w:rsidRDefault="007A60A6" w:rsidP="007A60A6">
      <w:pPr>
        <w:rPr>
          <w:rFonts w:ascii="Arial" w:hAnsi="Arial" w:cs="Arial"/>
          <w:sz w:val="24"/>
          <w:szCs w:val="24"/>
        </w:rPr>
      </w:pPr>
      <w:r w:rsidRPr="003D2B87">
        <w:rPr>
          <w:rFonts w:ascii="Arial" w:hAnsi="Arial" w:cs="Arial"/>
          <w:sz w:val="24"/>
          <w:szCs w:val="24"/>
        </w:rPr>
        <w:t>‘We need more funding in our budget to support all of our children including children with SEN needs and other vulnerable groups.  An increase in our budget would help to maintain our staffing to ensure this would happen.’</w:t>
      </w:r>
    </w:p>
    <w:p w14:paraId="60687F0C" w14:textId="77777777" w:rsidR="007A60A6" w:rsidRPr="003D2B87" w:rsidRDefault="007A60A6" w:rsidP="007A60A6">
      <w:pPr>
        <w:rPr>
          <w:rFonts w:ascii="Arial" w:hAnsi="Arial" w:cs="Arial"/>
          <w:sz w:val="24"/>
          <w:szCs w:val="24"/>
        </w:rPr>
      </w:pPr>
      <w:r w:rsidRPr="003D2B87">
        <w:rPr>
          <w:rFonts w:ascii="Arial" w:hAnsi="Arial" w:cs="Arial"/>
          <w:sz w:val="24"/>
          <w:szCs w:val="24"/>
        </w:rPr>
        <w:t>‘Option 3 will help our small school survive.’</w:t>
      </w:r>
    </w:p>
    <w:p w14:paraId="23DEDBC8" w14:textId="77777777" w:rsidR="007A60A6" w:rsidRPr="003D2B87" w:rsidRDefault="007A60A6" w:rsidP="007A60A6">
      <w:pPr>
        <w:rPr>
          <w:rFonts w:ascii="Arial" w:hAnsi="Arial" w:cs="Arial"/>
          <w:sz w:val="24"/>
          <w:szCs w:val="24"/>
        </w:rPr>
      </w:pPr>
      <w:r w:rsidRPr="003D2B87">
        <w:rPr>
          <w:rFonts w:ascii="Arial" w:hAnsi="Arial" w:cs="Arial"/>
          <w:sz w:val="24"/>
          <w:szCs w:val="24"/>
        </w:rPr>
        <w:t>‘Option 1 would devastate our finances and option 2 would too.’</w:t>
      </w:r>
    </w:p>
    <w:p w14:paraId="37A25B21" w14:textId="77777777" w:rsidR="002B21A7" w:rsidRPr="003D2B87" w:rsidRDefault="002B21A7" w:rsidP="00B31B63">
      <w:pPr>
        <w:rPr>
          <w:rFonts w:ascii="Arial" w:hAnsi="Arial" w:cs="Arial"/>
          <w:b/>
          <w:sz w:val="24"/>
          <w:szCs w:val="24"/>
        </w:rPr>
      </w:pPr>
      <w:r w:rsidRPr="003D2B87">
        <w:rPr>
          <w:rFonts w:ascii="Arial" w:hAnsi="Arial" w:cs="Arial"/>
          <w:b/>
          <w:sz w:val="24"/>
          <w:szCs w:val="24"/>
        </w:rPr>
        <w:t>Summary of general comments</w:t>
      </w:r>
    </w:p>
    <w:p w14:paraId="6A8EC1CD" w14:textId="77777777" w:rsidR="007A60A6" w:rsidRPr="003D2B87" w:rsidRDefault="007A60A6" w:rsidP="007A60A6">
      <w:pPr>
        <w:spacing w:after="0" w:line="240" w:lineRule="auto"/>
        <w:rPr>
          <w:rFonts w:ascii="Arial" w:eastAsia="Times New Roman" w:hAnsi="Arial" w:cs="Arial"/>
          <w:color w:val="000000"/>
          <w:sz w:val="24"/>
          <w:szCs w:val="24"/>
          <w:lang w:eastAsia="en-GB"/>
        </w:rPr>
      </w:pPr>
      <w:r w:rsidRPr="003D2B87">
        <w:rPr>
          <w:rFonts w:ascii="Arial" w:eastAsia="Times New Roman" w:hAnsi="Arial" w:cs="Arial"/>
          <w:color w:val="000000"/>
          <w:sz w:val="24"/>
          <w:szCs w:val="24"/>
          <w:lang w:eastAsia="en-GB"/>
        </w:rPr>
        <w:t>‘</w:t>
      </w:r>
      <w:r w:rsidRPr="007A60A6">
        <w:rPr>
          <w:rFonts w:ascii="Arial" w:eastAsia="Times New Roman" w:hAnsi="Arial" w:cs="Arial"/>
          <w:color w:val="000000"/>
          <w:sz w:val="24"/>
          <w:szCs w:val="24"/>
          <w:lang w:eastAsia="en-GB"/>
        </w:rPr>
        <w:t>I support a maximum of 0.5% to the High needs block as it is already receiving £10m from the DFE</w:t>
      </w:r>
      <w:r w:rsidRPr="003D2B87">
        <w:rPr>
          <w:rFonts w:ascii="Arial" w:eastAsia="Times New Roman" w:hAnsi="Arial" w:cs="Arial"/>
          <w:color w:val="000000"/>
          <w:sz w:val="24"/>
          <w:szCs w:val="24"/>
          <w:lang w:eastAsia="en-GB"/>
        </w:rPr>
        <w:t>’</w:t>
      </w:r>
    </w:p>
    <w:p w14:paraId="01ADB3E3" w14:textId="77777777" w:rsidR="00167CBD" w:rsidRPr="003D2B87" w:rsidRDefault="00167CBD" w:rsidP="007A60A6">
      <w:pPr>
        <w:spacing w:after="0" w:line="240" w:lineRule="auto"/>
        <w:rPr>
          <w:rFonts w:ascii="Arial" w:eastAsia="Times New Roman" w:hAnsi="Arial" w:cs="Arial"/>
          <w:color w:val="000000"/>
          <w:sz w:val="24"/>
          <w:szCs w:val="24"/>
          <w:lang w:eastAsia="en-GB"/>
        </w:rPr>
      </w:pPr>
    </w:p>
    <w:p w14:paraId="7FDAB9D8" w14:textId="77777777" w:rsidR="00167CBD" w:rsidRPr="003D2B87" w:rsidRDefault="00167CBD" w:rsidP="007A60A6">
      <w:pPr>
        <w:spacing w:after="0" w:line="240" w:lineRule="auto"/>
        <w:rPr>
          <w:rFonts w:ascii="Arial" w:eastAsia="Times New Roman" w:hAnsi="Arial" w:cs="Arial"/>
          <w:color w:val="000000"/>
          <w:sz w:val="24"/>
          <w:szCs w:val="24"/>
          <w:lang w:eastAsia="en-GB"/>
        </w:rPr>
      </w:pPr>
      <w:r w:rsidRPr="003D2B87">
        <w:rPr>
          <w:rFonts w:ascii="Arial" w:eastAsia="Times New Roman" w:hAnsi="Arial" w:cs="Arial"/>
          <w:color w:val="000000"/>
          <w:sz w:val="24"/>
          <w:szCs w:val="24"/>
          <w:lang w:eastAsia="en-GB"/>
        </w:rPr>
        <w:t>‘[Option 3] Indicates the most funding for my own school.’</w:t>
      </w:r>
    </w:p>
    <w:p w14:paraId="05187E06" w14:textId="77777777" w:rsidR="003D2B87" w:rsidRPr="003D2B87" w:rsidRDefault="003D2B87">
      <w:pPr>
        <w:rPr>
          <w:rFonts w:ascii="Arial" w:hAnsi="Arial" w:cs="Arial"/>
          <w:sz w:val="24"/>
          <w:szCs w:val="24"/>
        </w:rPr>
      </w:pPr>
    </w:p>
    <w:p w14:paraId="79D7559C" w14:textId="77777777" w:rsidR="00131DCD" w:rsidRDefault="00167CBD" w:rsidP="00B31B63">
      <w:pPr>
        <w:rPr>
          <w:rFonts w:ascii="Arial" w:hAnsi="Arial" w:cs="Arial"/>
          <w:sz w:val="24"/>
          <w:szCs w:val="24"/>
        </w:rPr>
      </w:pPr>
      <w:r w:rsidRPr="003D2B87">
        <w:rPr>
          <w:rFonts w:ascii="Arial" w:hAnsi="Arial" w:cs="Arial"/>
          <w:sz w:val="24"/>
          <w:szCs w:val="24"/>
        </w:rPr>
        <w:t>‘The idea of Fair funding is to make sure all schools across the country are funded fairly no matter what region they are in. Norfolk schools should not lose out in this because of legacy poor management of the High Needs block.’</w:t>
      </w:r>
    </w:p>
    <w:p w14:paraId="6993A361" w14:textId="77777777" w:rsidR="00131DCD" w:rsidRDefault="00131DCD" w:rsidP="00B31B63">
      <w:pPr>
        <w:rPr>
          <w:rFonts w:ascii="Arial" w:hAnsi="Arial" w:cs="Arial"/>
          <w:b/>
          <w:sz w:val="24"/>
          <w:szCs w:val="24"/>
        </w:rPr>
      </w:pPr>
    </w:p>
    <w:p w14:paraId="0A7248B1" w14:textId="54FC2E93" w:rsidR="00B31B63" w:rsidRPr="003D2B87" w:rsidRDefault="008A55C0" w:rsidP="00B31B63">
      <w:pPr>
        <w:rPr>
          <w:rFonts w:ascii="Arial" w:hAnsi="Arial" w:cs="Arial"/>
          <w:b/>
          <w:sz w:val="24"/>
          <w:szCs w:val="24"/>
        </w:rPr>
      </w:pPr>
      <w:r w:rsidRPr="003D2B87">
        <w:rPr>
          <w:rFonts w:ascii="Arial" w:hAnsi="Arial" w:cs="Arial"/>
          <w:b/>
          <w:sz w:val="24"/>
          <w:szCs w:val="24"/>
        </w:rPr>
        <w:t>Proposal</w:t>
      </w:r>
    </w:p>
    <w:p w14:paraId="5D5B59AF" w14:textId="77777777" w:rsidR="008A55C0" w:rsidRPr="003D2B87" w:rsidRDefault="008A55C0" w:rsidP="008A55C0">
      <w:pPr>
        <w:rPr>
          <w:rFonts w:ascii="Arial" w:hAnsi="Arial" w:cs="Arial"/>
          <w:sz w:val="24"/>
          <w:szCs w:val="24"/>
        </w:rPr>
      </w:pPr>
      <w:r w:rsidRPr="003D2B87">
        <w:rPr>
          <w:rFonts w:ascii="Arial" w:hAnsi="Arial" w:cs="Arial"/>
          <w:sz w:val="24"/>
          <w:szCs w:val="24"/>
        </w:rPr>
        <w:t>It is proposed to</w:t>
      </w:r>
      <w:r w:rsidR="00E757AE" w:rsidRPr="003D2B87">
        <w:rPr>
          <w:rFonts w:ascii="Arial" w:hAnsi="Arial" w:cs="Arial"/>
          <w:sz w:val="24"/>
          <w:szCs w:val="24"/>
        </w:rPr>
        <w:t xml:space="preserve"> </w:t>
      </w:r>
      <w:r w:rsidRPr="003D2B87">
        <w:rPr>
          <w:rFonts w:ascii="Arial" w:hAnsi="Arial" w:cs="Arial"/>
          <w:sz w:val="24"/>
          <w:szCs w:val="24"/>
        </w:rPr>
        <w:t>implement</w:t>
      </w:r>
      <w:r w:rsidR="0017166C" w:rsidRPr="003D2B87">
        <w:rPr>
          <w:rFonts w:ascii="Arial" w:hAnsi="Arial" w:cs="Arial"/>
          <w:sz w:val="24"/>
          <w:szCs w:val="24"/>
        </w:rPr>
        <w:t xml:space="preserve"> the unit values and methodologies</w:t>
      </w:r>
      <w:r w:rsidRPr="003D2B87">
        <w:rPr>
          <w:rFonts w:ascii="Arial" w:hAnsi="Arial" w:cs="Arial"/>
          <w:sz w:val="24"/>
          <w:szCs w:val="24"/>
        </w:rPr>
        <w:t xml:space="preserve"> of the National Funding Formula for the financial year 20</w:t>
      </w:r>
      <w:r w:rsidR="007C252A" w:rsidRPr="003D2B87">
        <w:rPr>
          <w:rFonts w:ascii="Arial" w:hAnsi="Arial" w:cs="Arial"/>
          <w:sz w:val="24"/>
          <w:szCs w:val="24"/>
        </w:rPr>
        <w:t>20/2</w:t>
      </w:r>
      <w:r w:rsidR="006710BA" w:rsidRPr="003D2B87">
        <w:rPr>
          <w:rFonts w:ascii="Arial" w:hAnsi="Arial" w:cs="Arial"/>
          <w:sz w:val="24"/>
          <w:szCs w:val="24"/>
        </w:rPr>
        <w:t xml:space="preserve">1, </w:t>
      </w:r>
      <w:r w:rsidRPr="003D2B87">
        <w:rPr>
          <w:rFonts w:ascii="Arial" w:hAnsi="Arial" w:cs="Arial"/>
          <w:sz w:val="24"/>
          <w:szCs w:val="24"/>
        </w:rPr>
        <w:t>and use the new</w:t>
      </w:r>
      <w:r w:rsidR="00914136" w:rsidRPr="003D2B87">
        <w:rPr>
          <w:rFonts w:ascii="Arial" w:hAnsi="Arial" w:cs="Arial"/>
          <w:sz w:val="24"/>
          <w:szCs w:val="24"/>
        </w:rPr>
        <w:t xml:space="preserve"> rates for the</w:t>
      </w:r>
      <w:r w:rsidRPr="003D2B87">
        <w:rPr>
          <w:rFonts w:ascii="Arial" w:hAnsi="Arial" w:cs="Arial"/>
          <w:sz w:val="24"/>
          <w:szCs w:val="24"/>
        </w:rPr>
        <w:t xml:space="preserve"> minimum per pupil funding levels for primary and secondary. </w:t>
      </w:r>
      <w:r w:rsidR="00A04D59" w:rsidRPr="003D2B87">
        <w:rPr>
          <w:rFonts w:ascii="Arial" w:hAnsi="Arial" w:cs="Arial"/>
          <w:sz w:val="24"/>
          <w:szCs w:val="24"/>
        </w:rPr>
        <w:t xml:space="preserve"> </w:t>
      </w:r>
      <w:r w:rsidR="008030DB" w:rsidRPr="003D2B87">
        <w:rPr>
          <w:rFonts w:ascii="Arial" w:hAnsi="Arial" w:cs="Arial"/>
          <w:sz w:val="24"/>
          <w:szCs w:val="24"/>
        </w:rPr>
        <w:t>Although there is no clear date for full implementation, t</w:t>
      </w:r>
      <w:r w:rsidRPr="003D2B87">
        <w:rPr>
          <w:rFonts w:ascii="Arial" w:hAnsi="Arial" w:cs="Arial"/>
          <w:sz w:val="24"/>
          <w:szCs w:val="24"/>
        </w:rPr>
        <w:t xml:space="preserve">he DfE </w:t>
      </w:r>
      <w:r w:rsidR="007C252A" w:rsidRPr="003D2B87">
        <w:rPr>
          <w:rFonts w:ascii="Arial" w:hAnsi="Arial" w:cs="Arial"/>
          <w:sz w:val="24"/>
          <w:szCs w:val="24"/>
        </w:rPr>
        <w:t>are very</w:t>
      </w:r>
      <w:r w:rsidRPr="003D2B87">
        <w:rPr>
          <w:rFonts w:ascii="Arial" w:hAnsi="Arial" w:cs="Arial"/>
          <w:sz w:val="24"/>
          <w:szCs w:val="24"/>
        </w:rPr>
        <w:t xml:space="preserve"> clear that this is</w:t>
      </w:r>
      <w:r w:rsidR="006710BA" w:rsidRPr="003D2B87">
        <w:rPr>
          <w:rFonts w:ascii="Arial" w:hAnsi="Arial" w:cs="Arial"/>
          <w:sz w:val="24"/>
          <w:szCs w:val="24"/>
        </w:rPr>
        <w:t xml:space="preserve"> their policy.</w:t>
      </w:r>
      <w:r w:rsidR="00A04D59" w:rsidRPr="003D2B87">
        <w:rPr>
          <w:rFonts w:ascii="Arial" w:hAnsi="Arial" w:cs="Arial"/>
          <w:sz w:val="24"/>
          <w:szCs w:val="24"/>
        </w:rPr>
        <w:t xml:space="preserve"> </w:t>
      </w:r>
      <w:r w:rsidR="004D3C98" w:rsidRPr="003D2B87">
        <w:rPr>
          <w:rFonts w:ascii="Arial" w:hAnsi="Arial" w:cs="Arial"/>
          <w:sz w:val="24"/>
          <w:szCs w:val="24"/>
        </w:rPr>
        <w:t>By working towards the NFF with a Minimum Funding Guarantee we are able to move school towards the NF</w:t>
      </w:r>
      <w:r w:rsidR="00CC05B9" w:rsidRPr="003D2B87">
        <w:rPr>
          <w:rFonts w:ascii="Arial" w:hAnsi="Arial" w:cs="Arial"/>
          <w:sz w:val="24"/>
          <w:szCs w:val="24"/>
        </w:rPr>
        <w:t>F in a measured way.</w:t>
      </w:r>
    </w:p>
    <w:p w14:paraId="148C6EEF" w14:textId="77777777" w:rsidR="00A23C3E" w:rsidRPr="003D2B87" w:rsidRDefault="00A23C3E" w:rsidP="004D3C98">
      <w:pPr>
        <w:rPr>
          <w:rFonts w:ascii="Arial" w:hAnsi="Arial" w:cs="Arial"/>
          <w:sz w:val="24"/>
          <w:szCs w:val="24"/>
        </w:rPr>
      </w:pPr>
      <w:r w:rsidRPr="003D2B87">
        <w:rPr>
          <w:rFonts w:ascii="Arial" w:hAnsi="Arial" w:cs="Arial"/>
          <w:sz w:val="24"/>
          <w:szCs w:val="24"/>
        </w:rPr>
        <w:t>The High Needs Block increase of £10.2m for 2020/21 has only</w:t>
      </w:r>
      <w:r w:rsidR="004D3C98" w:rsidRPr="003D2B87">
        <w:rPr>
          <w:rFonts w:ascii="Arial" w:hAnsi="Arial" w:cs="Arial"/>
          <w:sz w:val="24"/>
          <w:szCs w:val="24"/>
        </w:rPr>
        <w:t xml:space="preserve"> been confirmed for 2020/21 at this time, leaving uncertainty regarding the base level of HNB for future </w:t>
      </w:r>
      <w:r w:rsidR="004D3C98" w:rsidRPr="003D2B87">
        <w:rPr>
          <w:rFonts w:ascii="Arial" w:hAnsi="Arial" w:cs="Arial"/>
          <w:sz w:val="24"/>
          <w:szCs w:val="24"/>
        </w:rPr>
        <w:lastRenderedPageBreak/>
        <w:t>years.  This increase alone will not immediately resolve the ongoing High Needs Block overspend pressure due to the level of cumulative deficit, the anticipated ongoing commitments, and the uncertainty regarding future year’s HNB base funding</w:t>
      </w:r>
      <w:r w:rsidRPr="003D2B87">
        <w:rPr>
          <w:rFonts w:ascii="Arial" w:hAnsi="Arial" w:cs="Arial"/>
          <w:sz w:val="24"/>
          <w:szCs w:val="24"/>
        </w:rPr>
        <w:t>.</w:t>
      </w:r>
    </w:p>
    <w:p w14:paraId="6A8890ED" w14:textId="77777777" w:rsidR="00CC05B9" w:rsidRPr="003D2B87" w:rsidRDefault="00CC05B9" w:rsidP="00CC05B9">
      <w:pPr>
        <w:rPr>
          <w:rFonts w:ascii="Arial" w:hAnsi="Arial" w:cs="Arial"/>
          <w:sz w:val="24"/>
          <w:szCs w:val="24"/>
        </w:rPr>
      </w:pPr>
      <w:r w:rsidRPr="003D2B87">
        <w:rPr>
          <w:rFonts w:ascii="Arial" w:hAnsi="Arial" w:cs="Arial"/>
          <w:sz w:val="24"/>
          <w:szCs w:val="24"/>
        </w:rPr>
        <w:t xml:space="preserve">Norfolk’s current DSG Recovery Plan is underpinned by two key elements: </w:t>
      </w:r>
    </w:p>
    <w:p w14:paraId="142CC697" w14:textId="77777777" w:rsidR="00CC05B9" w:rsidRPr="003D2B87" w:rsidRDefault="00CC05B9" w:rsidP="00CC05B9">
      <w:pPr>
        <w:pStyle w:val="ListParagraph"/>
        <w:numPr>
          <w:ilvl w:val="0"/>
          <w:numId w:val="9"/>
        </w:numPr>
        <w:rPr>
          <w:rFonts w:ascii="Arial" w:hAnsi="Arial" w:cs="Arial"/>
          <w:sz w:val="24"/>
          <w:szCs w:val="24"/>
        </w:rPr>
      </w:pPr>
      <w:r w:rsidRPr="003D2B87">
        <w:rPr>
          <w:rFonts w:ascii="Arial" w:hAnsi="Arial" w:cs="Arial"/>
          <w:sz w:val="24"/>
          <w:szCs w:val="24"/>
        </w:rPr>
        <w:t>through the £120m capital investment to build new special schools, specialist resources bases and to develop student support hubs</w:t>
      </w:r>
    </w:p>
    <w:p w14:paraId="14CB5750" w14:textId="2CB37476" w:rsidR="00A04D59" w:rsidRPr="003D2B87" w:rsidRDefault="00A04D59" w:rsidP="00A04D59">
      <w:pPr>
        <w:pStyle w:val="ListParagraph"/>
        <w:numPr>
          <w:ilvl w:val="0"/>
          <w:numId w:val="9"/>
        </w:numPr>
        <w:rPr>
          <w:rFonts w:ascii="Arial" w:hAnsi="Arial" w:cs="Arial"/>
          <w:sz w:val="24"/>
          <w:szCs w:val="24"/>
        </w:rPr>
      </w:pPr>
      <w:r w:rsidRPr="003D2B87">
        <w:rPr>
          <w:rFonts w:ascii="Arial" w:hAnsi="Arial" w:cs="Arial"/>
          <w:sz w:val="24"/>
          <w:szCs w:val="24"/>
        </w:rPr>
        <w:t xml:space="preserve">the assumption of ongoing transfers of funding between the Schools Block and High Needs Block (0.5% </w:t>
      </w:r>
      <w:r w:rsidR="00704BF6">
        <w:rPr>
          <w:rFonts w:ascii="Arial" w:hAnsi="Arial" w:cs="Arial"/>
          <w:sz w:val="24"/>
          <w:szCs w:val="24"/>
        </w:rPr>
        <w:t xml:space="preserve">plus a further transfer of </w:t>
      </w:r>
      <w:r w:rsidRPr="003D2B87">
        <w:rPr>
          <w:rFonts w:ascii="Arial" w:hAnsi="Arial" w:cs="Arial"/>
          <w:sz w:val="24"/>
          <w:szCs w:val="24"/>
        </w:rPr>
        <w:t>£2.5m</w:t>
      </w:r>
      <w:r w:rsidR="00704BF6">
        <w:rPr>
          <w:rFonts w:ascii="Arial" w:hAnsi="Arial" w:cs="Arial"/>
          <w:sz w:val="24"/>
          <w:szCs w:val="24"/>
        </w:rPr>
        <w:t xml:space="preserve"> [previous assumption before additional funding announcements of £4.58m in line with the 2019/20 movement]</w:t>
      </w:r>
      <w:r w:rsidRPr="003D2B87">
        <w:rPr>
          <w:rFonts w:ascii="Arial" w:hAnsi="Arial" w:cs="Arial"/>
          <w:sz w:val="24"/>
          <w:szCs w:val="24"/>
        </w:rPr>
        <w:t>)</w:t>
      </w:r>
    </w:p>
    <w:p w14:paraId="57E16457" w14:textId="562717DB" w:rsidR="00CC05B9" w:rsidRPr="003D2B87" w:rsidRDefault="00704BF6" w:rsidP="00CC05B9">
      <w:pPr>
        <w:rPr>
          <w:rFonts w:ascii="Arial" w:hAnsi="Arial" w:cs="Arial"/>
          <w:sz w:val="24"/>
          <w:szCs w:val="24"/>
        </w:rPr>
      </w:pPr>
      <w:r w:rsidRPr="00131DCD">
        <w:rPr>
          <w:rFonts w:ascii="Arial" w:hAnsi="Arial" w:cs="Arial"/>
          <w:sz w:val="24"/>
          <w:szCs w:val="24"/>
        </w:rPr>
        <w:t xml:space="preserve">The Local Authority are minded to submit an application to the Secretary of State for a </w:t>
      </w:r>
      <w:r w:rsidR="00CC05B9" w:rsidRPr="00131DCD">
        <w:rPr>
          <w:rFonts w:ascii="Arial" w:hAnsi="Arial" w:cs="Arial"/>
          <w:sz w:val="24"/>
          <w:szCs w:val="24"/>
        </w:rPr>
        <w:t>transfer of £2.5m and</w:t>
      </w:r>
      <w:r w:rsidRPr="00131DCD">
        <w:rPr>
          <w:rFonts w:ascii="Arial" w:hAnsi="Arial" w:cs="Arial"/>
          <w:sz w:val="24"/>
          <w:szCs w:val="24"/>
        </w:rPr>
        <w:t xml:space="preserve">, if necessary, </w:t>
      </w:r>
      <w:r w:rsidR="00CC05B9" w:rsidRPr="00131DCD">
        <w:rPr>
          <w:rFonts w:ascii="Arial" w:hAnsi="Arial" w:cs="Arial"/>
          <w:sz w:val="24"/>
          <w:szCs w:val="24"/>
        </w:rPr>
        <w:t xml:space="preserve">the movement of the 0.5% (if </w:t>
      </w:r>
      <w:r w:rsidR="00A04D59" w:rsidRPr="00131DCD">
        <w:rPr>
          <w:rFonts w:ascii="Arial" w:hAnsi="Arial" w:cs="Arial"/>
          <w:sz w:val="24"/>
          <w:szCs w:val="24"/>
        </w:rPr>
        <w:t>S</w:t>
      </w:r>
      <w:r w:rsidR="00CC05B9" w:rsidRPr="00131DCD">
        <w:rPr>
          <w:rFonts w:ascii="Arial" w:hAnsi="Arial" w:cs="Arial"/>
          <w:sz w:val="24"/>
          <w:szCs w:val="24"/>
        </w:rPr>
        <w:t xml:space="preserve">chools </w:t>
      </w:r>
      <w:r w:rsidR="00A04D59" w:rsidRPr="00131DCD">
        <w:rPr>
          <w:rFonts w:ascii="Arial" w:hAnsi="Arial" w:cs="Arial"/>
          <w:sz w:val="24"/>
          <w:szCs w:val="24"/>
        </w:rPr>
        <w:t>F</w:t>
      </w:r>
      <w:r w:rsidR="00CC05B9" w:rsidRPr="00131DCD">
        <w:rPr>
          <w:rFonts w:ascii="Arial" w:hAnsi="Arial" w:cs="Arial"/>
          <w:sz w:val="24"/>
          <w:szCs w:val="24"/>
        </w:rPr>
        <w:t xml:space="preserve">orum vote against the </w:t>
      </w:r>
      <w:r w:rsidR="00A04D59" w:rsidRPr="00131DCD">
        <w:rPr>
          <w:rFonts w:ascii="Arial" w:hAnsi="Arial" w:cs="Arial"/>
          <w:sz w:val="24"/>
          <w:szCs w:val="24"/>
        </w:rPr>
        <w:t xml:space="preserve">0.5% </w:t>
      </w:r>
      <w:r w:rsidR="00CC05B9" w:rsidRPr="00131DCD">
        <w:rPr>
          <w:rFonts w:ascii="Arial" w:hAnsi="Arial" w:cs="Arial"/>
          <w:sz w:val="24"/>
          <w:szCs w:val="24"/>
        </w:rPr>
        <w:t>movement).</w:t>
      </w:r>
      <w:r w:rsidR="00A04D59" w:rsidRPr="00131DCD">
        <w:rPr>
          <w:rFonts w:ascii="Arial" w:hAnsi="Arial" w:cs="Arial"/>
          <w:sz w:val="24"/>
          <w:szCs w:val="24"/>
        </w:rPr>
        <w:t xml:space="preserve">  </w:t>
      </w:r>
      <w:r w:rsidR="00CC05B9" w:rsidRPr="00131DCD">
        <w:rPr>
          <w:rFonts w:ascii="Arial" w:hAnsi="Arial" w:cs="Arial"/>
          <w:sz w:val="24"/>
          <w:szCs w:val="24"/>
        </w:rPr>
        <w:t>In doing</w:t>
      </w:r>
      <w:r w:rsidR="00CC05B9" w:rsidRPr="003D2B87">
        <w:rPr>
          <w:rFonts w:ascii="Arial" w:hAnsi="Arial" w:cs="Arial"/>
          <w:sz w:val="24"/>
          <w:szCs w:val="24"/>
        </w:rPr>
        <w:t xml:space="preserve"> so the LA will </w:t>
      </w:r>
      <w:r>
        <w:rPr>
          <w:rFonts w:ascii="Arial" w:hAnsi="Arial" w:cs="Arial"/>
          <w:sz w:val="24"/>
          <w:szCs w:val="24"/>
        </w:rPr>
        <w:t xml:space="preserve">be required </w:t>
      </w:r>
      <w:r w:rsidR="00CC05B9" w:rsidRPr="003D2B87">
        <w:rPr>
          <w:rFonts w:ascii="Arial" w:hAnsi="Arial" w:cs="Arial"/>
          <w:sz w:val="24"/>
          <w:szCs w:val="24"/>
        </w:rPr>
        <w:t>to demonstrate with a business case that this is the best possible option, in the short-term, taking account of the announcements from government in October of £780m nationally for SEND and a ‘levelling up’ of school funding through the Schools Block.</w:t>
      </w:r>
    </w:p>
    <w:p w14:paraId="7CD333FF" w14:textId="77777777" w:rsidR="00CC05B9" w:rsidRPr="003D2B87" w:rsidRDefault="00CC05B9" w:rsidP="00CC05B9">
      <w:pPr>
        <w:rPr>
          <w:rFonts w:ascii="Arial" w:hAnsi="Arial" w:cs="Arial"/>
          <w:sz w:val="24"/>
          <w:szCs w:val="24"/>
        </w:rPr>
      </w:pPr>
      <w:r w:rsidRPr="003D2B87">
        <w:rPr>
          <w:rFonts w:ascii="Arial" w:hAnsi="Arial" w:cs="Arial"/>
          <w:sz w:val="24"/>
          <w:szCs w:val="24"/>
        </w:rPr>
        <w:t>The benefits to the Norfolk-wide Education System are:</w:t>
      </w:r>
    </w:p>
    <w:p w14:paraId="4D7EA809" w14:textId="77777777" w:rsidR="00CC05B9" w:rsidRPr="003D2B87" w:rsidRDefault="00CC05B9" w:rsidP="00CC05B9">
      <w:pPr>
        <w:pStyle w:val="ListParagraph"/>
        <w:numPr>
          <w:ilvl w:val="0"/>
          <w:numId w:val="9"/>
        </w:numPr>
        <w:rPr>
          <w:rFonts w:ascii="Arial" w:hAnsi="Arial" w:cs="Arial"/>
          <w:sz w:val="24"/>
          <w:szCs w:val="24"/>
        </w:rPr>
      </w:pPr>
      <w:r w:rsidRPr="003D2B87">
        <w:rPr>
          <w:rFonts w:ascii="Arial" w:hAnsi="Arial" w:cs="Arial"/>
          <w:sz w:val="24"/>
          <w:szCs w:val="24"/>
        </w:rPr>
        <w:t xml:space="preserve">All schools are expected to gain funding compared to 2019/20 despite the </w:t>
      </w:r>
      <w:r w:rsidR="00A04D59" w:rsidRPr="003D2B87">
        <w:rPr>
          <w:rFonts w:ascii="Arial" w:hAnsi="Arial" w:cs="Arial"/>
          <w:sz w:val="24"/>
          <w:szCs w:val="24"/>
        </w:rPr>
        <w:t xml:space="preserve">funding </w:t>
      </w:r>
      <w:r w:rsidRPr="003D2B87">
        <w:rPr>
          <w:rFonts w:ascii="Arial" w:hAnsi="Arial" w:cs="Arial"/>
          <w:sz w:val="24"/>
          <w:szCs w:val="24"/>
        </w:rPr>
        <w:t>transfer on a like-for-like basis (e.g. assuming no change in pupil numbers)</w:t>
      </w:r>
    </w:p>
    <w:p w14:paraId="0F01386A" w14:textId="77777777" w:rsidR="00CC05B9" w:rsidRPr="003D2B87" w:rsidRDefault="00CC05B9" w:rsidP="00CC05B9">
      <w:pPr>
        <w:pStyle w:val="ListParagraph"/>
        <w:numPr>
          <w:ilvl w:val="0"/>
          <w:numId w:val="9"/>
        </w:numPr>
        <w:rPr>
          <w:rFonts w:ascii="Arial" w:hAnsi="Arial" w:cs="Arial"/>
          <w:sz w:val="24"/>
          <w:szCs w:val="24"/>
        </w:rPr>
      </w:pPr>
      <w:r w:rsidRPr="003D2B87">
        <w:rPr>
          <w:rFonts w:ascii="Arial" w:hAnsi="Arial" w:cs="Arial"/>
          <w:sz w:val="24"/>
          <w:szCs w:val="24"/>
        </w:rPr>
        <w:t>the whole system will be demonstrating a responsible approach to good financial management, recognising the impact of higher than average SEND identification and the impact that this has had on High Needs pressures historically, whilst also implementing a transformation programme that will improve educational provision and outcomes for children and young people whilst addressing the ongoing budget pressures</w:t>
      </w:r>
      <w:r w:rsidR="001D56EA" w:rsidRPr="003D2B87">
        <w:rPr>
          <w:rFonts w:ascii="Arial" w:hAnsi="Arial" w:cs="Arial"/>
          <w:sz w:val="24"/>
          <w:szCs w:val="24"/>
        </w:rPr>
        <w:t>.</w:t>
      </w:r>
    </w:p>
    <w:p w14:paraId="5A9C60A8" w14:textId="77777777" w:rsidR="00131DCD" w:rsidRDefault="00131DCD" w:rsidP="008B75B0">
      <w:pPr>
        <w:spacing w:after="0" w:line="240" w:lineRule="auto"/>
        <w:jc w:val="both"/>
        <w:rPr>
          <w:rFonts w:ascii="Arial" w:eastAsia="Times New Roman" w:hAnsi="Arial" w:cs="Arial"/>
          <w:b/>
          <w:color w:val="000000"/>
          <w:sz w:val="24"/>
          <w:szCs w:val="24"/>
        </w:rPr>
      </w:pPr>
    </w:p>
    <w:p w14:paraId="01FF8B47" w14:textId="073014D8" w:rsidR="00C63109" w:rsidRPr="003D2B87" w:rsidRDefault="00C63109" w:rsidP="008B75B0">
      <w:pPr>
        <w:spacing w:after="0" w:line="240" w:lineRule="auto"/>
        <w:jc w:val="both"/>
        <w:rPr>
          <w:rFonts w:ascii="Arial" w:eastAsia="Times New Roman" w:hAnsi="Arial" w:cs="Arial"/>
          <w:b/>
          <w:color w:val="000000"/>
          <w:sz w:val="24"/>
          <w:szCs w:val="24"/>
        </w:rPr>
      </w:pPr>
      <w:r w:rsidRPr="003D2B87">
        <w:rPr>
          <w:rFonts w:ascii="Arial" w:eastAsia="Times New Roman" w:hAnsi="Arial" w:cs="Arial"/>
          <w:b/>
          <w:color w:val="000000"/>
          <w:sz w:val="24"/>
          <w:szCs w:val="24"/>
        </w:rPr>
        <w:t>Useful Links</w:t>
      </w:r>
    </w:p>
    <w:p w14:paraId="438ED54B" w14:textId="77777777" w:rsidR="00C63109" w:rsidRPr="003D2B87" w:rsidRDefault="00C63109" w:rsidP="008B75B0">
      <w:pPr>
        <w:spacing w:after="0" w:line="240" w:lineRule="auto"/>
        <w:jc w:val="both"/>
        <w:rPr>
          <w:rFonts w:ascii="Arial" w:eastAsia="Times New Roman" w:hAnsi="Arial" w:cs="Arial"/>
          <w:color w:val="000000"/>
          <w:sz w:val="24"/>
          <w:szCs w:val="24"/>
        </w:rPr>
      </w:pPr>
    </w:p>
    <w:p w14:paraId="5999886C" w14:textId="77777777" w:rsidR="004D3C98" w:rsidRPr="003D2B87" w:rsidRDefault="00062A5A" w:rsidP="004D3C98">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hyperlink r:id="rId10" w:history="1">
        <w:r w:rsidR="004D3C98" w:rsidRPr="003D2B87">
          <w:rPr>
            <w:rStyle w:val="Hyperlink"/>
            <w:rFonts w:ascii="Arial" w:hAnsi="Arial" w:cs="Arial"/>
            <w:sz w:val="24"/>
            <w:szCs w:val="24"/>
          </w:rPr>
          <w:t>NFF Tables for Schools &amp; High Needs 2020/21</w:t>
        </w:r>
      </w:hyperlink>
      <w:r w:rsidR="004D3C98" w:rsidRPr="003D2B87">
        <w:rPr>
          <w:rFonts w:ascii="Arial" w:hAnsi="Arial" w:cs="Arial"/>
          <w:sz w:val="24"/>
          <w:szCs w:val="24"/>
        </w:rPr>
        <w:t xml:space="preserve"> </w:t>
      </w:r>
    </w:p>
    <w:p w14:paraId="72137079" w14:textId="77777777" w:rsidR="004D3C98" w:rsidRPr="003D2B87" w:rsidRDefault="004D3C98" w:rsidP="004D3C98">
      <w:pPr>
        <w:pBdr>
          <w:top w:val="single" w:sz="4" w:space="1" w:color="auto"/>
          <w:left w:val="single" w:sz="4" w:space="4" w:color="auto"/>
          <w:bottom w:val="single" w:sz="4" w:space="1" w:color="auto"/>
          <w:right w:val="single" w:sz="4" w:space="4" w:color="auto"/>
        </w:pBdr>
        <w:rPr>
          <w:rFonts w:ascii="Arial" w:hAnsi="Arial" w:cs="Arial"/>
          <w:sz w:val="24"/>
          <w:szCs w:val="24"/>
        </w:rPr>
      </w:pPr>
      <w:r w:rsidRPr="003D2B87">
        <w:rPr>
          <w:rFonts w:ascii="Arial" w:hAnsi="Arial" w:cs="Arial"/>
          <w:sz w:val="24"/>
          <w:szCs w:val="24"/>
        </w:rPr>
        <w:t>(</w:t>
      </w:r>
      <w:hyperlink r:id="rId11" w:history="1">
        <w:r w:rsidRPr="003D2B87">
          <w:rPr>
            <w:rStyle w:val="Hyperlink"/>
            <w:rFonts w:ascii="Arial" w:hAnsi="Arial" w:cs="Arial"/>
            <w:sz w:val="24"/>
            <w:szCs w:val="24"/>
          </w:rPr>
          <w:t>https://www.gov.uk/government/publications/national-funding-formula-tables-for-schools-and-high-needs-2020-to-2021</w:t>
        </w:r>
      </w:hyperlink>
      <w:r w:rsidRPr="003D2B87">
        <w:rPr>
          <w:rFonts w:ascii="Arial" w:hAnsi="Arial" w:cs="Arial"/>
          <w:sz w:val="24"/>
          <w:szCs w:val="24"/>
        </w:rPr>
        <w:t>)</w:t>
      </w:r>
    </w:p>
    <w:p w14:paraId="6ECEB89B" w14:textId="77777777" w:rsidR="004D3C98" w:rsidRPr="003D2B87" w:rsidRDefault="00062A5A" w:rsidP="004D3C98">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hyperlink r:id="rId12" w:history="1">
        <w:r w:rsidR="004D3C98" w:rsidRPr="003D2B87">
          <w:rPr>
            <w:rStyle w:val="Hyperlink"/>
            <w:rFonts w:ascii="Arial" w:hAnsi="Arial" w:cs="Arial"/>
            <w:sz w:val="24"/>
            <w:szCs w:val="24"/>
          </w:rPr>
          <w:t>Consultation: Changing the Dedicated Schools Grant</w:t>
        </w:r>
      </w:hyperlink>
    </w:p>
    <w:p w14:paraId="0B8D0CD2" w14:textId="77777777" w:rsidR="004D3C98" w:rsidRPr="00A9707D" w:rsidRDefault="004D3C98" w:rsidP="004D3C98">
      <w:pPr>
        <w:pBdr>
          <w:top w:val="single" w:sz="4" w:space="1" w:color="auto"/>
          <w:left w:val="single" w:sz="4" w:space="4" w:color="auto"/>
          <w:bottom w:val="single" w:sz="4" w:space="1" w:color="auto"/>
          <w:right w:val="single" w:sz="4" w:space="4" w:color="auto"/>
        </w:pBdr>
        <w:rPr>
          <w:rFonts w:ascii="Arial" w:hAnsi="Arial" w:cs="Arial"/>
          <w:sz w:val="16"/>
          <w:szCs w:val="16"/>
        </w:rPr>
      </w:pPr>
      <w:r w:rsidRPr="003D2B87">
        <w:rPr>
          <w:rFonts w:ascii="Arial" w:hAnsi="Arial" w:cs="Arial"/>
          <w:sz w:val="24"/>
          <w:szCs w:val="24"/>
        </w:rPr>
        <w:t>(</w:t>
      </w:r>
      <w:hyperlink r:id="rId13" w:history="1">
        <w:r w:rsidRPr="003D2B87">
          <w:rPr>
            <w:rStyle w:val="Hyperlink"/>
            <w:rFonts w:ascii="Arial" w:hAnsi="Arial" w:cs="Arial"/>
            <w:sz w:val="24"/>
            <w:szCs w:val="24"/>
          </w:rPr>
          <w:t>https://www.gov.uk/government/consultations/consultation-on-changing-the-dedicated-schools-grant</w:t>
        </w:r>
      </w:hyperlink>
      <w:r w:rsidRPr="003D2B87">
        <w:rPr>
          <w:rFonts w:ascii="Arial" w:hAnsi="Arial" w:cs="Arial"/>
          <w:sz w:val="16"/>
          <w:szCs w:val="16"/>
        </w:rPr>
        <w:t>)</w:t>
      </w:r>
    </w:p>
    <w:p w14:paraId="3D31872A" w14:textId="77777777" w:rsidR="00C63109" w:rsidRDefault="00C63109" w:rsidP="008B75B0">
      <w:pPr>
        <w:spacing w:after="0" w:line="240" w:lineRule="auto"/>
        <w:jc w:val="both"/>
        <w:rPr>
          <w:rFonts w:ascii="Arial" w:hAnsi="Arial" w:cs="Arial"/>
          <w:sz w:val="24"/>
          <w:szCs w:val="24"/>
        </w:rPr>
      </w:pPr>
    </w:p>
    <w:sectPr w:rsidR="00C631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8A446" w14:textId="77777777" w:rsidR="00062A5A" w:rsidRDefault="00062A5A">
      <w:pPr>
        <w:spacing w:after="0" w:line="240" w:lineRule="auto"/>
      </w:pPr>
      <w:r>
        <w:separator/>
      </w:r>
    </w:p>
  </w:endnote>
  <w:endnote w:type="continuationSeparator" w:id="0">
    <w:p w14:paraId="364F4491" w14:textId="77777777" w:rsidR="00062A5A" w:rsidRDefault="0006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767406"/>
      <w:docPartObj>
        <w:docPartGallery w:val="Page Numbers (Bottom of Page)"/>
        <w:docPartUnique/>
      </w:docPartObj>
    </w:sdtPr>
    <w:sdtEndPr>
      <w:rPr>
        <w:noProof/>
      </w:rPr>
    </w:sdtEndPr>
    <w:sdtContent>
      <w:p w14:paraId="2762E287" w14:textId="77777777" w:rsidR="00B93AC0" w:rsidRDefault="00B93AC0">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17991DF3" w14:textId="77777777" w:rsidR="00B93AC0" w:rsidRDefault="00B9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350A5" w14:textId="77777777" w:rsidR="00062A5A" w:rsidRDefault="00062A5A">
      <w:pPr>
        <w:spacing w:after="0" w:line="240" w:lineRule="auto"/>
      </w:pPr>
      <w:r>
        <w:separator/>
      </w:r>
    </w:p>
  </w:footnote>
  <w:footnote w:type="continuationSeparator" w:id="0">
    <w:p w14:paraId="2A2B15F8" w14:textId="77777777" w:rsidR="00062A5A" w:rsidRDefault="00062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233"/>
    <w:multiLevelType w:val="hybridMultilevel"/>
    <w:tmpl w:val="9FCA86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B475E"/>
    <w:multiLevelType w:val="hybridMultilevel"/>
    <w:tmpl w:val="2350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13BD6"/>
    <w:multiLevelType w:val="hybridMultilevel"/>
    <w:tmpl w:val="8F2AC7B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2DB81CD3"/>
    <w:multiLevelType w:val="hybridMultilevel"/>
    <w:tmpl w:val="A9EAF560"/>
    <w:lvl w:ilvl="0" w:tplc="253480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D06CF"/>
    <w:multiLevelType w:val="hybridMultilevel"/>
    <w:tmpl w:val="CE00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8705A"/>
    <w:multiLevelType w:val="hybridMultilevel"/>
    <w:tmpl w:val="EAB6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80D38"/>
    <w:multiLevelType w:val="hybridMultilevel"/>
    <w:tmpl w:val="2ADA6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7B56E2"/>
    <w:multiLevelType w:val="hybridMultilevel"/>
    <w:tmpl w:val="04B4E786"/>
    <w:lvl w:ilvl="0" w:tplc="0D6A0F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1F2B88"/>
    <w:multiLevelType w:val="hybridMultilevel"/>
    <w:tmpl w:val="730E3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7A5A35"/>
    <w:multiLevelType w:val="hybridMultilevel"/>
    <w:tmpl w:val="B2A8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2"/>
  </w:num>
  <w:num w:numId="5">
    <w:abstractNumId w:val="4"/>
  </w:num>
  <w:num w:numId="6">
    <w:abstractNumId w:val="7"/>
  </w:num>
  <w:num w:numId="7">
    <w:abstractNumId w:val="6"/>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74"/>
    <w:rsid w:val="00004015"/>
    <w:rsid w:val="00024B5B"/>
    <w:rsid w:val="00024C60"/>
    <w:rsid w:val="00053AA3"/>
    <w:rsid w:val="00062A5A"/>
    <w:rsid w:val="000853FC"/>
    <w:rsid w:val="00087B35"/>
    <w:rsid w:val="000C4716"/>
    <w:rsid w:val="000C6A75"/>
    <w:rsid w:val="000D362C"/>
    <w:rsid w:val="001120D6"/>
    <w:rsid w:val="00115F4A"/>
    <w:rsid w:val="00124338"/>
    <w:rsid w:val="00131DCD"/>
    <w:rsid w:val="00147AAE"/>
    <w:rsid w:val="001539F4"/>
    <w:rsid w:val="001648A8"/>
    <w:rsid w:val="00167CBD"/>
    <w:rsid w:val="0017166C"/>
    <w:rsid w:val="00195C34"/>
    <w:rsid w:val="00196B22"/>
    <w:rsid w:val="001B42C5"/>
    <w:rsid w:val="001D4125"/>
    <w:rsid w:val="001D56EA"/>
    <w:rsid w:val="001E115C"/>
    <w:rsid w:val="001E7024"/>
    <w:rsid w:val="001F03FA"/>
    <w:rsid w:val="002268CA"/>
    <w:rsid w:val="002365BF"/>
    <w:rsid w:val="00241BA3"/>
    <w:rsid w:val="00251C12"/>
    <w:rsid w:val="00261FED"/>
    <w:rsid w:val="00266BBE"/>
    <w:rsid w:val="00280A5C"/>
    <w:rsid w:val="002A38F3"/>
    <w:rsid w:val="002B21A7"/>
    <w:rsid w:val="002C3DD9"/>
    <w:rsid w:val="002C562A"/>
    <w:rsid w:val="002D0CC2"/>
    <w:rsid w:val="002E209A"/>
    <w:rsid w:val="002F1808"/>
    <w:rsid w:val="00305C7B"/>
    <w:rsid w:val="003221AC"/>
    <w:rsid w:val="00341CA9"/>
    <w:rsid w:val="00356870"/>
    <w:rsid w:val="00363B47"/>
    <w:rsid w:val="003831B5"/>
    <w:rsid w:val="003B69E3"/>
    <w:rsid w:val="003C4DD5"/>
    <w:rsid w:val="003D1DF4"/>
    <w:rsid w:val="003D2B87"/>
    <w:rsid w:val="003E61B1"/>
    <w:rsid w:val="003E7B8C"/>
    <w:rsid w:val="00403500"/>
    <w:rsid w:val="00431D50"/>
    <w:rsid w:val="00442044"/>
    <w:rsid w:val="0044286C"/>
    <w:rsid w:val="00447CFF"/>
    <w:rsid w:val="0046154A"/>
    <w:rsid w:val="00464AC8"/>
    <w:rsid w:val="004A22B0"/>
    <w:rsid w:val="004C13AA"/>
    <w:rsid w:val="004C4AB5"/>
    <w:rsid w:val="004D3C98"/>
    <w:rsid w:val="004E6D7F"/>
    <w:rsid w:val="004F7807"/>
    <w:rsid w:val="005016B8"/>
    <w:rsid w:val="00523678"/>
    <w:rsid w:val="00535E2A"/>
    <w:rsid w:val="00540FC9"/>
    <w:rsid w:val="005512DF"/>
    <w:rsid w:val="00566DEC"/>
    <w:rsid w:val="00572E74"/>
    <w:rsid w:val="00581FB0"/>
    <w:rsid w:val="005825E0"/>
    <w:rsid w:val="0058442B"/>
    <w:rsid w:val="00584CD0"/>
    <w:rsid w:val="00586FEC"/>
    <w:rsid w:val="00592100"/>
    <w:rsid w:val="005A620D"/>
    <w:rsid w:val="005B787B"/>
    <w:rsid w:val="005C2551"/>
    <w:rsid w:val="005C3488"/>
    <w:rsid w:val="005C5135"/>
    <w:rsid w:val="005E730F"/>
    <w:rsid w:val="005F134D"/>
    <w:rsid w:val="00602B7C"/>
    <w:rsid w:val="00603EBD"/>
    <w:rsid w:val="0061625E"/>
    <w:rsid w:val="006166B6"/>
    <w:rsid w:val="00616DED"/>
    <w:rsid w:val="0062365A"/>
    <w:rsid w:val="00631A2B"/>
    <w:rsid w:val="0063342E"/>
    <w:rsid w:val="006613B7"/>
    <w:rsid w:val="00664235"/>
    <w:rsid w:val="00666489"/>
    <w:rsid w:val="006710BA"/>
    <w:rsid w:val="00674A0C"/>
    <w:rsid w:val="00677F43"/>
    <w:rsid w:val="00680096"/>
    <w:rsid w:val="0068024A"/>
    <w:rsid w:val="00681AD9"/>
    <w:rsid w:val="006848E2"/>
    <w:rsid w:val="00685696"/>
    <w:rsid w:val="006B2CF5"/>
    <w:rsid w:val="006B656D"/>
    <w:rsid w:val="006D5980"/>
    <w:rsid w:val="006E16E5"/>
    <w:rsid w:val="00704BF6"/>
    <w:rsid w:val="00752E09"/>
    <w:rsid w:val="00786A5F"/>
    <w:rsid w:val="007A48D7"/>
    <w:rsid w:val="007A4A76"/>
    <w:rsid w:val="007A52BF"/>
    <w:rsid w:val="007A60A6"/>
    <w:rsid w:val="007C252A"/>
    <w:rsid w:val="007C2B3C"/>
    <w:rsid w:val="007C403C"/>
    <w:rsid w:val="007C7111"/>
    <w:rsid w:val="007E0F5A"/>
    <w:rsid w:val="007E44E3"/>
    <w:rsid w:val="007F137D"/>
    <w:rsid w:val="008030DB"/>
    <w:rsid w:val="00814F07"/>
    <w:rsid w:val="00815ACA"/>
    <w:rsid w:val="00815B82"/>
    <w:rsid w:val="00824090"/>
    <w:rsid w:val="00833325"/>
    <w:rsid w:val="00853D37"/>
    <w:rsid w:val="008A55C0"/>
    <w:rsid w:val="008B1AAF"/>
    <w:rsid w:val="008B2F7E"/>
    <w:rsid w:val="008B5685"/>
    <w:rsid w:val="008B75B0"/>
    <w:rsid w:val="00903CFC"/>
    <w:rsid w:val="00914136"/>
    <w:rsid w:val="009617B4"/>
    <w:rsid w:val="00983255"/>
    <w:rsid w:val="0098325B"/>
    <w:rsid w:val="00987009"/>
    <w:rsid w:val="009952BB"/>
    <w:rsid w:val="009A46D8"/>
    <w:rsid w:val="009E3500"/>
    <w:rsid w:val="009F51B7"/>
    <w:rsid w:val="00A04D59"/>
    <w:rsid w:val="00A23C3E"/>
    <w:rsid w:val="00A24B79"/>
    <w:rsid w:val="00AA3944"/>
    <w:rsid w:val="00AA4070"/>
    <w:rsid w:val="00AD4BC6"/>
    <w:rsid w:val="00AD72B7"/>
    <w:rsid w:val="00B0678B"/>
    <w:rsid w:val="00B164BD"/>
    <w:rsid w:val="00B26AB4"/>
    <w:rsid w:val="00B31B63"/>
    <w:rsid w:val="00B40F1A"/>
    <w:rsid w:val="00B52FF8"/>
    <w:rsid w:val="00B87673"/>
    <w:rsid w:val="00B93AC0"/>
    <w:rsid w:val="00BA7D77"/>
    <w:rsid w:val="00BC7600"/>
    <w:rsid w:val="00C14FF4"/>
    <w:rsid w:val="00C34DFD"/>
    <w:rsid w:val="00C502BE"/>
    <w:rsid w:val="00C5586E"/>
    <w:rsid w:val="00C561B1"/>
    <w:rsid w:val="00C609A7"/>
    <w:rsid w:val="00C63109"/>
    <w:rsid w:val="00C65A3F"/>
    <w:rsid w:val="00C72819"/>
    <w:rsid w:val="00C77DA4"/>
    <w:rsid w:val="00C85E31"/>
    <w:rsid w:val="00CB3466"/>
    <w:rsid w:val="00CB6111"/>
    <w:rsid w:val="00CC05B9"/>
    <w:rsid w:val="00CD1B9C"/>
    <w:rsid w:val="00D06ACE"/>
    <w:rsid w:val="00D12A4A"/>
    <w:rsid w:val="00D32318"/>
    <w:rsid w:val="00D5226C"/>
    <w:rsid w:val="00D665DA"/>
    <w:rsid w:val="00D844D6"/>
    <w:rsid w:val="00D942CD"/>
    <w:rsid w:val="00DA04CE"/>
    <w:rsid w:val="00DA5B74"/>
    <w:rsid w:val="00DB7013"/>
    <w:rsid w:val="00DC2CC9"/>
    <w:rsid w:val="00DC4B10"/>
    <w:rsid w:val="00DD15F0"/>
    <w:rsid w:val="00E06E0D"/>
    <w:rsid w:val="00E12616"/>
    <w:rsid w:val="00E2392C"/>
    <w:rsid w:val="00E654B6"/>
    <w:rsid w:val="00E757AE"/>
    <w:rsid w:val="00EA3AEC"/>
    <w:rsid w:val="00EC2F5A"/>
    <w:rsid w:val="00ED2BB7"/>
    <w:rsid w:val="00EE5437"/>
    <w:rsid w:val="00EE60A8"/>
    <w:rsid w:val="00EE7318"/>
    <w:rsid w:val="00F039B7"/>
    <w:rsid w:val="00F137D9"/>
    <w:rsid w:val="00F407AC"/>
    <w:rsid w:val="00F83FA5"/>
    <w:rsid w:val="00F84A38"/>
    <w:rsid w:val="00F86E33"/>
    <w:rsid w:val="00F93DF0"/>
    <w:rsid w:val="00FA5436"/>
    <w:rsid w:val="00FC0DAC"/>
    <w:rsid w:val="00FC6D83"/>
    <w:rsid w:val="00FF5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61F7"/>
  <w15:chartTrackingRefBased/>
  <w15:docId w15:val="{4BC2986D-5E5F-412E-9466-BEF3E190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5B74"/>
    <w:pPr>
      <w:spacing w:after="0" w:line="240" w:lineRule="auto"/>
    </w:pPr>
  </w:style>
  <w:style w:type="paragraph" w:styleId="ListParagraph">
    <w:name w:val="List Paragraph"/>
    <w:basedOn w:val="Normal"/>
    <w:uiPriority w:val="34"/>
    <w:qFormat/>
    <w:rsid w:val="00DA5B74"/>
    <w:pPr>
      <w:ind w:left="720"/>
      <w:contextualSpacing/>
    </w:pPr>
  </w:style>
  <w:style w:type="character" w:styleId="Hyperlink">
    <w:name w:val="Hyperlink"/>
    <w:basedOn w:val="DefaultParagraphFont"/>
    <w:uiPriority w:val="99"/>
    <w:unhideWhenUsed/>
    <w:rsid w:val="00DA5B74"/>
    <w:rPr>
      <w:color w:val="0563C1" w:themeColor="hyperlink"/>
      <w:u w:val="single"/>
    </w:rPr>
  </w:style>
  <w:style w:type="table" w:styleId="TableGrid">
    <w:name w:val="Table Grid"/>
    <w:basedOn w:val="TableNormal"/>
    <w:uiPriority w:val="39"/>
    <w:rsid w:val="00DA5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3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25"/>
    <w:rPr>
      <w:rFonts w:ascii="Segoe UI" w:hAnsi="Segoe UI" w:cs="Segoe UI"/>
      <w:sz w:val="18"/>
      <w:szCs w:val="18"/>
    </w:rPr>
  </w:style>
  <w:style w:type="character" w:styleId="CommentReference">
    <w:name w:val="annotation reference"/>
    <w:basedOn w:val="DefaultParagraphFont"/>
    <w:uiPriority w:val="99"/>
    <w:semiHidden/>
    <w:unhideWhenUsed/>
    <w:rsid w:val="00833325"/>
    <w:rPr>
      <w:sz w:val="16"/>
      <w:szCs w:val="16"/>
    </w:rPr>
  </w:style>
  <w:style w:type="paragraph" w:styleId="CommentText">
    <w:name w:val="annotation text"/>
    <w:basedOn w:val="Normal"/>
    <w:link w:val="CommentTextChar"/>
    <w:uiPriority w:val="99"/>
    <w:semiHidden/>
    <w:unhideWhenUsed/>
    <w:rsid w:val="00833325"/>
    <w:pPr>
      <w:spacing w:line="240" w:lineRule="auto"/>
    </w:pPr>
    <w:rPr>
      <w:sz w:val="20"/>
      <w:szCs w:val="20"/>
    </w:rPr>
  </w:style>
  <w:style w:type="character" w:customStyle="1" w:styleId="CommentTextChar">
    <w:name w:val="Comment Text Char"/>
    <w:basedOn w:val="DefaultParagraphFont"/>
    <w:link w:val="CommentText"/>
    <w:uiPriority w:val="99"/>
    <w:semiHidden/>
    <w:rsid w:val="00833325"/>
    <w:rPr>
      <w:sz w:val="20"/>
      <w:szCs w:val="20"/>
    </w:rPr>
  </w:style>
  <w:style w:type="paragraph" w:styleId="CommentSubject">
    <w:name w:val="annotation subject"/>
    <w:basedOn w:val="CommentText"/>
    <w:next w:val="CommentText"/>
    <w:link w:val="CommentSubjectChar"/>
    <w:uiPriority w:val="99"/>
    <w:semiHidden/>
    <w:unhideWhenUsed/>
    <w:rsid w:val="00833325"/>
    <w:rPr>
      <w:b/>
      <w:bCs/>
    </w:rPr>
  </w:style>
  <w:style w:type="character" w:customStyle="1" w:styleId="CommentSubjectChar">
    <w:name w:val="Comment Subject Char"/>
    <w:basedOn w:val="CommentTextChar"/>
    <w:link w:val="CommentSubject"/>
    <w:uiPriority w:val="99"/>
    <w:semiHidden/>
    <w:rsid w:val="00833325"/>
    <w:rPr>
      <w:b/>
      <w:bCs/>
      <w:sz w:val="20"/>
      <w:szCs w:val="20"/>
    </w:rPr>
  </w:style>
  <w:style w:type="paragraph" w:styleId="Footer">
    <w:name w:val="footer"/>
    <w:basedOn w:val="Normal"/>
    <w:link w:val="FooterChar"/>
    <w:uiPriority w:val="99"/>
    <w:unhideWhenUsed/>
    <w:rsid w:val="00584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42B"/>
  </w:style>
  <w:style w:type="paragraph" w:styleId="Revision">
    <w:name w:val="Revision"/>
    <w:hidden/>
    <w:uiPriority w:val="99"/>
    <w:semiHidden/>
    <w:rsid w:val="00131DCD"/>
    <w:pPr>
      <w:spacing w:after="0" w:line="240" w:lineRule="auto"/>
    </w:pPr>
  </w:style>
  <w:style w:type="character" w:styleId="FollowedHyperlink">
    <w:name w:val="FollowedHyperlink"/>
    <w:basedOn w:val="DefaultParagraphFont"/>
    <w:uiPriority w:val="99"/>
    <w:semiHidden/>
    <w:unhideWhenUsed/>
    <w:rsid w:val="00786A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9294">
      <w:bodyDiv w:val="1"/>
      <w:marLeft w:val="0"/>
      <w:marRight w:val="0"/>
      <w:marTop w:val="0"/>
      <w:marBottom w:val="0"/>
      <w:divBdr>
        <w:top w:val="none" w:sz="0" w:space="0" w:color="auto"/>
        <w:left w:val="none" w:sz="0" w:space="0" w:color="auto"/>
        <w:bottom w:val="none" w:sz="0" w:space="0" w:color="auto"/>
        <w:right w:val="none" w:sz="0" w:space="0" w:color="auto"/>
      </w:divBdr>
    </w:div>
    <w:div w:id="105344908">
      <w:bodyDiv w:val="1"/>
      <w:marLeft w:val="0"/>
      <w:marRight w:val="0"/>
      <w:marTop w:val="0"/>
      <w:marBottom w:val="0"/>
      <w:divBdr>
        <w:top w:val="none" w:sz="0" w:space="0" w:color="auto"/>
        <w:left w:val="none" w:sz="0" w:space="0" w:color="auto"/>
        <w:bottom w:val="none" w:sz="0" w:space="0" w:color="auto"/>
        <w:right w:val="none" w:sz="0" w:space="0" w:color="auto"/>
      </w:divBdr>
    </w:div>
    <w:div w:id="120196267">
      <w:bodyDiv w:val="1"/>
      <w:marLeft w:val="0"/>
      <w:marRight w:val="0"/>
      <w:marTop w:val="0"/>
      <w:marBottom w:val="0"/>
      <w:divBdr>
        <w:top w:val="none" w:sz="0" w:space="0" w:color="auto"/>
        <w:left w:val="none" w:sz="0" w:space="0" w:color="auto"/>
        <w:bottom w:val="none" w:sz="0" w:space="0" w:color="auto"/>
        <w:right w:val="none" w:sz="0" w:space="0" w:color="auto"/>
      </w:divBdr>
    </w:div>
    <w:div w:id="140973279">
      <w:bodyDiv w:val="1"/>
      <w:marLeft w:val="0"/>
      <w:marRight w:val="0"/>
      <w:marTop w:val="0"/>
      <w:marBottom w:val="0"/>
      <w:divBdr>
        <w:top w:val="none" w:sz="0" w:space="0" w:color="auto"/>
        <w:left w:val="none" w:sz="0" w:space="0" w:color="auto"/>
        <w:bottom w:val="none" w:sz="0" w:space="0" w:color="auto"/>
        <w:right w:val="none" w:sz="0" w:space="0" w:color="auto"/>
      </w:divBdr>
    </w:div>
    <w:div w:id="166679960">
      <w:bodyDiv w:val="1"/>
      <w:marLeft w:val="0"/>
      <w:marRight w:val="0"/>
      <w:marTop w:val="0"/>
      <w:marBottom w:val="0"/>
      <w:divBdr>
        <w:top w:val="none" w:sz="0" w:space="0" w:color="auto"/>
        <w:left w:val="none" w:sz="0" w:space="0" w:color="auto"/>
        <w:bottom w:val="none" w:sz="0" w:space="0" w:color="auto"/>
        <w:right w:val="none" w:sz="0" w:space="0" w:color="auto"/>
      </w:divBdr>
    </w:div>
    <w:div w:id="193157254">
      <w:bodyDiv w:val="1"/>
      <w:marLeft w:val="0"/>
      <w:marRight w:val="0"/>
      <w:marTop w:val="0"/>
      <w:marBottom w:val="0"/>
      <w:divBdr>
        <w:top w:val="none" w:sz="0" w:space="0" w:color="auto"/>
        <w:left w:val="none" w:sz="0" w:space="0" w:color="auto"/>
        <w:bottom w:val="none" w:sz="0" w:space="0" w:color="auto"/>
        <w:right w:val="none" w:sz="0" w:space="0" w:color="auto"/>
      </w:divBdr>
    </w:div>
    <w:div w:id="268901363">
      <w:bodyDiv w:val="1"/>
      <w:marLeft w:val="0"/>
      <w:marRight w:val="0"/>
      <w:marTop w:val="0"/>
      <w:marBottom w:val="0"/>
      <w:divBdr>
        <w:top w:val="none" w:sz="0" w:space="0" w:color="auto"/>
        <w:left w:val="none" w:sz="0" w:space="0" w:color="auto"/>
        <w:bottom w:val="none" w:sz="0" w:space="0" w:color="auto"/>
        <w:right w:val="none" w:sz="0" w:space="0" w:color="auto"/>
      </w:divBdr>
    </w:div>
    <w:div w:id="418064423">
      <w:bodyDiv w:val="1"/>
      <w:marLeft w:val="0"/>
      <w:marRight w:val="0"/>
      <w:marTop w:val="0"/>
      <w:marBottom w:val="0"/>
      <w:divBdr>
        <w:top w:val="none" w:sz="0" w:space="0" w:color="auto"/>
        <w:left w:val="none" w:sz="0" w:space="0" w:color="auto"/>
        <w:bottom w:val="none" w:sz="0" w:space="0" w:color="auto"/>
        <w:right w:val="none" w:sz="0" w:space="0" w:color="auto"/>
      </w:divBdr>
    </w:div>
    <w:div w:id="428741527">
      <w:bodyDiv w:val="1"/>
      <w:marLeft w:val="0"/>
      <w:marRight w:val="0"/>
      <w:marTop w:val="0"/>
      <w:marBottom w:val="0"/>
      <w:divBdr>
        <w:top w:val="none" w:sz="0" w:space="0" w:color="auto"/>
        <w:left w:val="none" w:sz="0" w:space="0" w:color="auto"/>
        <w:bottom w:val="none" w:sz="0" w:space="0" w:color="auto"/>
        <w:right w:val="none" w:sz="0" w:space="0" w:color="auto"/>
      </w:divBdr>
    </w:div>
    <w:div w:id="460613499">
      <w:bodyDiv w:val="1"/>
      <w:marLeft w:val="0"/>
      <w:marRight w:val="0"/>
      <w:marTop w:val="0"/>
      <w:marBottom w:val="0"/>
      <w:divBdr>
        <w:top w:val="none" w:sz="0" w:space="0" w:color="auto"/>
        <w:left w:val="none" w:sz="0" w:space="0" w:color="auto"/>
        <w:bottom w:val="none" w:sz="0" w:space="0" w:color="auto"/>
        <w:right w:val="none" w:sz="0" w:space="0" w:color="auto"/>
      </w:divBdr>
    </w:div>
    <w:div w:id="468325136">
      <w:bodyDiv w:val="1"/>
      <w:marLeft w:val="0"/>
      <w:marRight w:val="0"/>
      <w:marTop w:val="0"/>
      <w:marBottom w:val="0"/>
      <w:divBdr>
        <w:top w:val="none" w:sz="0" w:space="0" w:color="auto"/>
        <w:left w:val="none" w:sz="0" w:space="0" w:color="auto"/>
        <w:bottom w:val="none" w:sz="0" w:space="0" w:color="auto"/>
        <w:right w:val="none" w:sz="0" w:space="0" w:color="auto"/>
      </w:divBdr>
    </w:div>
    <w:div w:id="687683589">
      <w:bodyDiv w:val="1"/>
      <w:marLeft w:val="0"/>
      <w:marRight w:val="0"/>
      <w:marTop w:val="0"/>
      <w:marBottom w:val="0"/>
      <w:divBdr>
        <w:top w:val="none" w:sz="0" w:space="0" w:color="auto"/>
        <w:left w:val="none" w:sz="0" w:space="0" w:color="auto"/>
        <w:bottom w:val="none" w:sz="0" w:space="0" w:color="auto"/>
        <w:right w:val="none" w:sz="0" w:space="0" w:color="auto"/>
      </w:divBdr>
    </w:div>
    <w:div w:id="753670141">
      <w:bodyDiv w:val="1"/>
      <w:marLeft w:val="0"/>
      <w:marRight w:val="0"/>
      <w:marTop w:val="0"/>
      <w:marBottom w:val="0"/>
      <w:divBdr>
        <w:top w:val="none" w:sz="0" w:space="0" w:color="auto"/>
        <w:left w:val="none" w:sz="0" w:space="0" w:color="auto"/>
        <w:bottom w:val="none" w:sz="0" w:space="0" w:color="auto"/>
        <w:right w:val="none" w:sz="0" w:space="0" w:color="auto"/>
      </w:divBdr>
    </w:div>
    <w:div w:id="781916798">
      <w:bodyDiv w:val="1"/>
      <w:marLeft w:val="0"/>
      <w:marRight w:val="0"/>
      <w:marTop w:val="0"/>
      <w:marBottom w:val="0"/>
      <w:divBdr>
        <w:top w:val="none" w:sz="0" w:space="0" w:color="auto"/>
        <w:left w:val="none" w:sz="0" w:space="0" w:color="auto"/>
        <w:bottom w:val="none" w:sz="0" w:space="0" w:color="auto"/>
        <w:right w:val="none" w:sz="0" w:space="0" w:color="auto"/>
      </w:divBdr>
    </w:div>
    <w:div w:id="1016495600">
      <w:bodyDiv w:val="1"/>
      <w:marLeft w:val="0"/>
      <w:marRight w:val="0"/>
      <w:marTop w:val="0"/>
      <w:marBottom w:val="0"/>
      <w:divBdr>
        <w:top w:val="none" w:sz="0" w:space="0" w:color="auto"/>
        <w:left w:val="none" w:sz="0" w:space="0" w:color="auto"/>
        <w:bottom w:val="none" w:sz="0" w:space="0" w:color="auto"/>
        <w:right w:val="none" w:sz="0" w:space="0" w:color="auto"/>
      </w:divBdr>
    </w:div>
    <w:div w:id="1062631689">
      <w:bodyDiv w:val="1"/>
      <w:marLeft w:val="0"/>
      <w:marRight w:val="0"/>
      <w:marTop w:val="0"/>
      <w:marBottom w:val="0"/>
      <w:divBdr>
        <w:top w:val="none" w:sz="0" w:space="0" w:color="auto"/>
        <w:left w:val="none" w:sz="0" w:space="0" w:color="auto"/>
        <w:bottom w:val="none" w:sz="0" w:space="0" w:color="auto"/>
        <w:right w:val="none" w:sz="0" w:space="0" w:color="auto"/>
      </w:divBdr>
    </w:div>
    <w:div w:id="1165244305">
      <w:bodyDiv w:val="1"/>
      <w:marLeft w:val="0"/>
      <w:marRight w:val="0"/>
      <w:marTop w:val="0"/>
      <w:marBottom w:val="0"/>
      <w:divBdr>
        <w:top w:val="none" w:sz="0" w:space="0" w:color="auto"/>
        <w:left w:val="none" w:sz="0" w:space="0" w:color="auto"/>
        <w:bottom w:val="none" w:sz="0" w:space="0" w:color="auto"/>
        <w:right w:val="none" w:sz="0" w:space="0" w:color="auto"/>
      </w:divBdr>
    </w:div>
    <w:div w:id="1224373523">
      <w:bodyDiv w:val="1"/>
      <w:marLeft w:val="0"/>
      <w:marRight w:val="0"/>
      <w:marTop w:val="0"/>
      <w:marBottom w:val="0"/>
      <w:divBdr>
        <w:top w:val="none" w:sz="0" w:space="0" w:color="auto"/>
        <w:left w:val="none" w:sz="0" w:space="0" w:color="auto"/>
        <w:bottom w:val="none" w:sz="0" w:space="0" w:color="auto"/>
        <w:right w:val="none" w:sz="0" w:space="0" w:color="auto"/>
      </w:divBdr>
    </w:div>
    <w:div w:id="1278485837">
      <w:bodyDiv w:val="1"/>
      <w:marLeft w:val="0"/>
      <w:marRight w:val="0"/>
      <w:marTop w:val="0"/>
      <w:marBottom w:val="0"/>
      <w:divBdr>
        <w:top w:val="none" w:sz="0" w:space="0" w:color="auto"/>
        <w:left w:val="none" w:sz="0" w:space="0" w:color="auto"/>
        <w:bottom w:val="none" w:sz="0" w:space="0" w:color="auto"/>
        <w:right w:val="none" w:sz="0" w:space="0" w:color="auto"/>
      </w:divBdr>
    </w:div>
    <w:div w:id="1513958162">
      <w:bodyDiv w:val="1"/>
      <w:marLeft w:val="0"/>
      <w:marRight w:val="0"/>
      <w:marTop w:val="0"/>
      <w:marBottom w:val="0"/>
      <w:divBdr>
        <w:top w:val="none" w:sz="0" w:space="0" w:color="auto"/>
        <w:left w:val="none" w:sz="0" w:space="0" w:color="auto"/>
        <w:bottom w:val="none" w:sz="0" w:space="0" w:color="auto"/>
        <w:right w:val="none" w:sz="0" w:space="0" w:color="auto"/>
      </w:divBdr>
    </w:div>
    <w:div w:id="1691027956">
      <w:bodyDiv w:val="1"/>
      <w:marLeft w:val="0"/>
      <w:marRight w:val="0"/>
      <w:marTop w:val="0"/>
      <w:marBottom w:val="0"/>
      <w:divBdr>
        <w:top w:val="none" w:sz="0" w:space="0" w:color="auto"/>
        <w:left w:val="none" w:sz="0" w:space="0" w:color="auto"/>
        <w:bottom w:val="none" w:sz="0" w:space="0" w:color="auto"/>
        <w:right w:val="none" w:sz="0" w:space="0" w:color="auto"/>
      </w:divBdr>
    </w:div>
    <w:div w:id="1763185101">
      <w:bodyDiv w:val="1"/>
      <w:marLeft w:val="0"/>
      <w:marRight w:val="0"/>
      <w:marTop w:val="0"/>
      <w:marBottom w:val="0"/>
      <w:divBdr>
        <w:top w:val="none" w:sz="0" w:space="0" w:color="auto"/>
        <w:left w:val="none" w:sz="0" w:space="0" w:color="auto"/>
        <w:bottom w:val="none" w:sz="0" w:space="0" w:color="auto"/>
        <w:right w:val="none" w:sz="0" w:space="0" w:color="auto"/>
      </w:divBdr>
    </w:div>
    <w:div w:id="1811091037">
      <w:bodyDiv w:val="1"/>
      <w:marLeft w:val="0"/>
      <w:marRight w:val="0"/>
      <w:marTop w:val="0"/>
      <w:marBottom w:val="0"/>
      <w:divBdr>
        <w:top w:val="none" w:sz="0" w:space="0" w:color="auto"/>
        <w:left w:val="none" w:sz="0" w:space="0" w:color="auto"/>
        <w:bottom w:val="none" w:sz="0" w:space="0" w:color="auto"/>
        <w:right w:val="none" w:sz="0" w:space="0" w:color="auto"/>
      </w:divBdr>
    </w:div>
    <w:div w:id="1866599396">
      <w:bodyDiv w:val="1"/>
      <w:marLeft w:val="0"/>
      <w:marRight w:val="0"/>
      <w:marTop w:val="0"/>
      <w:marBottom w:val="0"/>
      <w:divBdr>
        <w:top w:val="none" w:sz="0" w:space="0" w:color="auto"/>
        <w:left w:val="none" w:sz="0" w:space="0" w:color="auto"/>
        <w:bottom w:val="none" w:sz="0" w:space="0" w:color="auto"/>
        <w:right w:val="none" w:sz="0" w:space="0" w:color="auto"/>
      </w:divBdr>
    </w:div>
    <w:div w:id="2032950254">
      <w:bodyDiv w:val="1"/>
      <w:marLeft w:val="0"/>
      <w:marRight w:val="0"/>
      <w:marTop w:val="0"/>
      <w:marBottom w:val="0"/>
      <w:divBdr>
        <w:top w:val="none" w:sz="0" w:space="0" w:color="auto"/>
        <w:left w:val="none" w:sz="0" w:space="0" w:color="auto"/>
        <w:bottom w:val="none" w:sz="0" w:space="0" w:color="auto"/>
        <w:right w:val="none" w:sz="0" w:space="0" w:color="auto"/>
      </w:divBdr>
    </w:div>
    <w:div w:id="2065256806">
      <w:bodyDiv w:val="1"/>
      <w:marLeft w:val="0"/>
      <w:marRight w:val="0"/>
      <w:marTop w:val="0"/>
      <w:marBottom w:val="0"/>
      <w:divBdr>
        <w:top w:val="none" w:sz="0" w:space="0" w:color="auto"/>
        <w:left w:val="none" w:sz="0" w:space="0" w:color="auto"/>
        <w:bottom w:val="none" w:sz="0" w:space="0" w:color="auto"/>
        <w:right w:val="none" w:sz="0" w:space="0" w:color="auto"/>
      </w:divBdr>
    </w:div>
    <w:div w:id="21471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uk/government/consultations/consultation-on-changing-the-dedicated-schools-grant" TargetMode="External"/><Relationship Id="rId3" Type="http://schemas.openxmlformats.org/officeDocument/2006/relationships/settings" Target="settings.xml"/><Relationship Id="rId7" Type="http://schemas.openxmlformats.org/officeDocument/2006/relationships/hyperlink" Target="http://www.gov.uk" TargetMode="External"/><Relationship Id="rId12" Type="http://schemas.openxmlformats.org/officeDocument/2006/relationships/hyperlink" Target="https://www.gov.uk/government/consultations/consultation-on-changing-the-dedicated-schools-gr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funding-formula-tables-for-schools-and-high-needs-2020-to-20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national-funding-formula-tables-for-schools-and-high-needs-2020-to-202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4770</Words>
  <Characters>27192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Martin</dc:creator>
  <cp:keywords/>
  <dc:description/>
  <cp:lastModifiedBy>McGregor, Caroline</cp:lastModifiedBy>
  <cp:revision>2</cp:revision>
  <cp:lastPrinted>2019-11-14T15:10:00Z</cp:lastPrinted>
  <dcterms:created xsi:type="dcterms:W3CDTF">2020-05-06T14:26:00Z</dcterms:created>
  <dcterms:modified xsi:type="dcterms:W3CDTF">2020-05-06T14:26:00Z</dcterms:modified>
</cp:coreProperties>
</file>