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963" w14:textId="51CBE655" w:rsidR="00C523DE" w:rsidRPr="0055579F" w:rsidRDefault="00C523DE" w:rsidP="00C523DE">
      <w:pPr>
        <w:tabs>
          <w:tab w:val="left" w:pos="3504"/>
        </w:tabs>
        <w:jc w:val="center"/>
        <w:rPr>
          <w:rFonts w:cstheme="minorHAnsi"/>
          <w:b/>
          <w:bCs/>
          <w:sz w:val="22"/>
          <w:szCs w:val="22"/>
        </w:rPr>
      </w:pPr>
      <w:r w:rsidRPr="0055579F">
        <w:rPr>
          <w:rFonts w:cstheme="minorHAnsi"/>
          <w:b/>
          <w:bCs/>
          <w:sz w:val="22"/>
          <w:szCs w:val="22"/>
        </w:rPr>
        <w:t>Whole School Audit Tool – Vaping</w:t>
      </w:r>
    </w:p>
    <w:p w14:paraId="4DEB2998" w14:textId="77777777" w:rsidR="00C523DE" w:rsidRPr="0055579F" w:rsidRDefault="00C523DE" w:rsidP="00DB6E0A">
      <w:pPr>
        <w:tabs>
          <w:tab w:val="left" w:pos="3504"/>
        </w:tabs>
        <w:rPr>
          <w:rFonts w:cstheme="minorHAnsi"/>
          <w:sz w:val="22"/>
          <w:szCs w:val="22"/>
        </w:rPr>
      </w:pPr>
    </w:p>
    <w:p w14:paraId="62EB9530" w14:textId="36DCC12A" w:rsidR="00412929" w:rsidRPr="0055579F" w:rsidRDefault="00412929" w:rsidP="00DB6E0A">
      <w:pPr>
        <w:tabs>
          <w:tab w:val="left" w:pos="3504"/>
        </w:tabs>
        <w:rPr>
          <w:rFonts w:cstheme="minorHAnsi"/>
          <w:sz w:val="22"/>
          <w:szCs w:val="22"/>
        </w:rPr>
      </w:pPr>
      <w:r w:rsidRPr="0055579F">
        <w:rPr>
          <w:rFonts w:cstheme="minorHAnsi"/>
          <w:sz w:val="22"/>
          <w:szCs w:val="22"/>
        </w:rPr>
        <w:t xml:space="preserve">The aim of this audit tool is to consider your school or setting’s current practice in relation to how you support </w:t>
      </w:r>
      <w:r w:rsidR="00DB597F" w:rsidRPr="0055579F">
        <w:rPr>
          <w:rFonts w:cstheme="minorHAnsi"/>
          <w:sz w:val="22"/>
          <w:szCs w:val="22"/>
        </w:rPr>
        <w:t xml:space="preserve">CYP impacted by </w:t>
      </w:r>
      <w:r w:rsidR="00725742" w:rsidRPr="0055579F">
        <w:rPr>
          <w:rFonts w:cstheme="minorHAnsi"/>
          <w:sz w:val="22"/>
          <w:szCs w:val="22"/>
        </w:rPr>
        <w:t xml:space="preserve">vaping </w:t>
      </w:r>
      <w:r w:rsidR="00DB597F" w:rsidRPr="0055579F">
        <w:rPr>
          <w:rFonts w:cstheme="minorHAnsi"/>
          <w:sz w:val="22"/>
          <w:szCs w:val="22"/>
        </w:rPr>
        <w:t>and how you work to reduce these challenges through a whole school / setting approach</w:t>
      </w:r>
      <w:r w:rsidRPr="0055579F">
        <w:rPr>
          <w:rFonts w:cstheme="minorHAnsi"/>
          <w:sz w:val="22"/>
          <w:szCs w:val="22"/>
        </w:rPr>
        <w:t xml:space="preserve">. It will highlight areas of strength whilst identifying areas which could be further developed. </w:t>
      </w:r>
    </w:p>
    <w:p w14:paraId="30B7D1E9" w14:textId="77777777" w:rsidR="00412929" w:rsidRPr="0055579F" w:rsidRDefault="00412929" w:rsidP="00DB6E0A">
      <w:pPr>
        <w:tabs>
          <w:tab w:val="left" w:pos="3504"/>
        </w:tabs>
        <w:rPr>
          <w:rFonts w:cstheme="minorHAnsi"/>
          <w:sz w:val="22"/>
          <w:szCs w:val="22"/>
        </w:rPr>
      </w:pPr>
    </w:p>
    <w:p w14:paraId="75EA1976" w14:textId="77777777" w:rsidR="00412929" w:rsidRPr="0055579F" w:rsidRDefault="00412929" w:rsidP="00DB6E0A">
      <w:pPr>
        <w:tabs>
          <w:tab w:val="left" w:pos="3504"/>
        </w:tabs>
        <w:rPr>
          <w:rFonts w:cstheme="minorHAnsi"/>
          <w:sz w:val="22"/>
          <w:szCs w:val="22"/>
        </w:rPr>
      </w:pPr>
      <w:r w:rsidRPr="0055579F">
        <w:rPr>
          <w:rFonts w:cstheme="minorHAnsi"/>
          <w:sz w:val="22"/>
          <w:szCs w:val="22"/>
        </w:rPr>
        <w:t xml:space="preserve">How to use: </w:t>
      </w:r>
    </w:p>
    <w:p w14:paraId="025F9033" w14:textId="2281691A" w:rsidR="00DB6E0A" w:rsidRPr="0055579F" w:rsidRDefault="00725742" w:rsidP="00DB6E0A">
      <w:pPr>
        <w:pStyle w:val="ListParagraph"/>
        <w:numPr>
          <w:ilvl w:val="0"/>
          <w:numId w:val="14"/>
        </w:numPr>
        <w:tabs>
          <w:tab w:val="left" w:pos="3504"/>
        </w:tabs>
        <w:rPr>
          <w:rFonts w:cstheme="minorHAnsi"/>
          <w:sz w:val="22"/>
          <w:szCs w:val="22"/>
        </w:rPr>
      </w:pPr>
      <w:r w:rsidRPr="0055579F">
        <w:rPr>
          <w:rFonts w:cstheme="minorHAnsi"/>
          <w:sz w:val="22"/>
          <w:szCs w:val="22"/>
        </w:rPr>
        <w:t>Read the</w:t>
      </w:r>
      <w:r w:rsidR="00412929" w:rsidRPr="0055579F">
        <w:rPr>
          <w:rFonts w:cstheme="minorHAnsi"/>
          <w:sz w:val="22"/>
          <w:szCs w:val="22"/>
        </w:rPr>
        <w:t xml:space="preserve"> statements. </w:t>
      </w:r>
    </w:p>
    <w:p w14:paraId="61EC4C0A" w14:textId="725789AC" w:rsidR="00725742" w:rsidRPr="0055579F" w:rsidRDefault="00725742" w:rsidP="00DB6E0A">
      <w:pPr>
        <w:pStyle w:val="ListParagraph"/>
        <w:numPr>
          <w:ilvl w:val="0"/>
          <w:numId w:val="14"/>
        </w:numPr>
        <w:tabs>
          <w:tab w:val="left" w:pos="3504"/>
        </w:tabs>
        <w:rPr>
          <w:rFonts w:cstheme="minorHAnsi"/>
          <w:sz w:val="22"/>
          <w:szCs w:val="22"/>
        </w:rPr>
      </w:pPr>
      <w:r w:rsidRPr="0055579F">
        <w:rPr>
          <w:rFonts w:cstheme="minorHAnsi"/>
          <w:sz w:val="22"/>
          <w:szCs w:val="22"/>
        </w:rPr>
        <w:t xml:space="preserve">Assign a RAG </w:t>
      </w:r>
      <w:r w:rsidR="000C6F48">
        <w:rPr>
          <w:rFonts w:cstheme="minorHAnsi"/>
          <w:sz w:val="22"/>
          <w:szCs w:val="22"/>
        </w:rPr>
        <w:t xml:space="preserve">(Red/Amber/Green) </w:t>
      </w:r>
      <w:r w:rsidRPr="0055579F">
        <w:rPr>
          <w:rFonts w:cstheme="minorHAnsi"/>
          <w:sz w:val="22"/>
          <w:szCs w:val="22"/>
        </w:rPr>
        <w:t>rating to each of them.</w:t>
      </w:r>
    </w:p>
    <w:p w14:paraId="257405AB" w14:textId="433E0F09" w:rsidR="00725742" w:rsidRPr="0055579F" w:rsidRDefault="00725742" w:rsidP="00DB6E0A">
      <w:pPr>
        <w:pStyle w:val="ListParagraph"/>
        <w:numPr>
          <w:ilvl w:val="0"/>
          <w:numId w:val="14"/>
        </w:numPr>
        <w:tabs>
          <w:tab w:val="left" w:pos="3504"/>
        </w:tabs>
        <w:rPr>
          <w:rFonts w:cstheme="minorHAnsi"/>
          <w:sz w:val="22"/>
          <w:szCs w:val="22"/>
        </w:rPr>
      </w:pPr>
      <w:r w:rsidRPr="0055579F">
        <w:rPr>
          <w:rFonts w:cstheme="minorHAnsi"/>
          <w:sz w:val="22"/>
          <w:szCs w:val="22"/>
        </w:rPr>
        <w:t>Identify areas for development.</w:t>
      </w:r>
    </w:p>
    <w:p w14:paraId="564B0C5B" w14:textId="1A3B031E" w:rsidR="00725742" w:rsidRPr="0055579F" w:rsidRDefault="00725742" w:rsidP="00DB6E0A">
      <w:pPr>
        <w:pStyle w:val="ListParagraph"/>
        <w:numPr>
          <w:ilvl w:val="0"/>
          <w:numId w:val="14"/>
        </w:numPr>
        <w:tabs>
          <w:tab w:val="left" w:pos="3504"/>
        </w:tabs>
        <w:rPr>
          <w:rFonts w:cstheme="minorHAnsi"/>
          <w:sz w:val="22"/>
          <w:szCs w:val="22"/>
        </w:rPr>
      </w:pPr>
      <w:r w:rsidRPr="0055579F">
        <w:rPr>
          <w:rFonts w:cstheme="minorHAnsi"/>
          <w:sz w:val="22"/>
          <w:szCs w:val="22"/>
        </w:rPr>
        <w:t>Use the action plan to plan next steps</w:t>
      </w:r>
      <w:r w:rsidR="00D801E8">
        <w:rPr>
          <w:rFonts w:cstheme="minorHAnsi"/>
          <w:sz w:val="22"/>
          <w:szCs w:val="22"/>
        </w:rPr>
        <w:t>.</w:t>
      </w:r>
    </w:p>
    <w:p w14:paraId="5BE097E3" w14:textId="77777777" w:rsidR="00725742" w:rsidRPr="0055579F" w:rsidRDefault="00725742" w:rsidP="00725742">
      <w:pPr>
        <w:pStyle w:val="ListParagraph"/>
        <w:tabs>
          <w:tab w:val="left" w:pos="3504"/>
        </w:tabs>
        <w:ind w:left="360"/>
        <w:rPr>
          <w:rFonts w:cstheme="minorHAnsi"/>
          <w:sz w:val="22"/>
          <w:szCs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382"/>
        <w:gridCol w:w="8647"/>
      </w:tblGrid>
      <w:tr w:rsidR="000C6F48" w:rsidRPr="0055579F" w14:paraId="33D5644E" w14:textId="77777777" w:rsidTr="00925A6E">
        <w:trPr>
          <w:trHeight w:val="305"/>
        </w:trPr>
        <w:tc>
          <w:tcPr>
            <w:tcW w:w="5382" w:type="dxa"/>
          </w:tcPr>
          <w:p w14:paraId="272B98A5" w14:textId="58B889FE" w:rsidR="000C6F48" w:rsidRPr="00925A6E" w:rsidRDefault="000C6F48" w:rsidP="00DB6E0A">
            <w:pPr>
              <w:tabs>
                <w:tab w:val="left" w:pos="3504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925A6E">
              <w:rPr>
                <w:rFonts w:cstheme="minorHAnsi"/>
                <w:b/>
                <w:bCs/>
                <w:sz w:val="22"/>
                <w:szCs w:val="22"/>
              </w:rPr>
              <w:t>School / setting name</w:t>
            </w:r>
            <w:r w:rsidR="00925A6E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</w:tcPr>
          <w:p w14:paraId="4E8BBA8C" w14:textId="77777777" w:rsidR="000C6F48" w:rsidRPr="0055579F" w:rsidRDefault="000C6F48" w:rsidP="00DB6E0A">
            <w:pPr>
              <w:tabs>
                <w:tab w:val="left" w:pos="350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0C6F48" w:rsidRPr="0055579F" w14:paraId="78CA56D6" w14:textId="77777777" w:rsidTr="00925A6E">
        <w:trPr>
          <w:trHeight w:val="294"/>
        </w:trPr>
        <w:tc>
          <w:tcPr>
            <w:tcW w:w="5382" w:type="dxa"/>
          </w:tcPr>
          <w:p w14:paraId="1C75D45D" w14:textId="3A92CA50" w:rsidR="000C6F48" w:rsidRPr="00925A6E" w:rsidRDefault="000C6F48" w:rsidP="00DB6E0A">
            <w:pPr>
              <w:tabs>
                <w:tab w:val="left" w:pos="3504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925A6E">
              <w:rPr>
                <w:rFonts w:cstheme="minorHAnsi"/>
                <w:b/>
                <w:bCs/>
                <w:sz w:val="22"/>
                <w:szCs w:val="22"/>
              </w:rPr>
              <w:t>Phase</w:t>
            </w:r>
            <w:r w:rsidR="00925A6E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</w:tcPr>
          <w:p w14:paraId="6F60A6F5" w14:textId="77777777" w:rsidR="000C6F48" w:rsidRPr="0055579F" w:rsidRDefault="000C6F48" w:rsidP="00DB6E0A">
            <w:pPr>
              <w:tabs>
                <w:tab w:val="left" w:pos="350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0C6F48" w:rsidRPr="0055579F" w14:paraId="2AC620C2" w14:textId="77777777" w:rsidTr="00925A6E">
        <w:trPr>
          <w:trHeight w:val="294"/>
        </w:trPr>
        <w:tc>
          <w:tcPr>
            <w:tcW w:w="5382" w:type="dxa"/>
          </w:tcPr>
          <w:p w14:paraId="40985EE3" w14:textId="2C682E43" w:rsidR="000C6F48" w:rsidRPr="00925A6E" w:rsidRDefault="000C6F48" w:rsidP="00DB6E0A">
            <w:pPr>
              <w:tabs>
                <w:tab w:val="left" w:pos="3504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925A6E">
              <w:rPr>
                <w:rFonts w:cstheme="minorHAnsi"/>
                <w:b/>
                <w:bCs/>
                <w:sz w:val="22"/>
                <w:szCs w:val="22"/>
              </w:rPr>
              <w:t>Safeguarding lead</w:t>
            </w:r>
            <w:r w:rsidR="00925A6E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</w:tcPr>
          <w:p w14:paraId="307D0FFE" w14:textId="77777777" w:rsidR="000C6F48" w:rsidRPr="0055579F" w:rsidRDefault="000C6F48" w:rsidP="00DB6E0A">
            <w:pPr>
              <w:tabs>
                <w:tab w:val="left" w:pos="350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0C6F48" w:rsidRPr="0055579F" w14:paraId="068B0247" w14:textId="77777777" w:rsidTr="00925A6E">
        <w:trPr>
          <w:trHeight w:val="294"/>
        </w:trPr>
        <w:tc>
          <w:tcPr>
            <w:tcW w:w="5382" w:type="dxa"/>
          </w:tcPr>
          <w:p w14:paraId="7F8F996F" w14:textId="33C399F5" w:rsidR="000C6F48" w:rsidRPr="00925A6E" w:rsidRDefault="000C6F48" w:rsidP="00DB6E0A">
            <w:pPr>
              <w:tabs>
                <w:tab w:val="left" w:pos="3504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925A6E">
              <w:rPr>
                <w:rFonts w:cstheme="minorHAnsi"/>
                <w:b/>
                <w:bCs/>
                <w:sz w:val="22"/>
                <w:szCs w:val="22"/>
              </w:rPr>
              <w:t>Pastoral lead</w:t>
            </w:r>
            <w:r w:rsidR="00925A6E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</w:tcPr>
          <w:p w14:paraId="42FE338E" w14:textId="77777777" w:rsidR="000C6F48" w:rsidRPr="0055579F" w:rsidRDefault="000C6F48" w:rsidP="00DB6E0A">
            <w:pPr>
              <w:tabs>
                <w:tab w:val="left" w:pos="350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0C6F48" w:rsidRPr="0055579F" w14:paraId="6866E04D" w14:textId="77777777" w:rsidTr="00925A6E">
        <w:trPr>
          <w:trHeight w:val="482"/>
        </w:trPr>
        <w:tc>
          <w:tcPr>
            <w:tcW w:w="5382" w:type="dxa"/>
          </w:tcPr>
          <w:p w14:paraId="2E8E5518" w14:textId="71F608C5" w:rsidR="000C6F48" w:rsidRPr="00925A6E" w:rsidRDefault="000C6F48" w:rsidP="00DB6E0A">
            <w:pPr>
              <w:tabs>
                <w:tab w:val="left" w:pos="3504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925A6E">
              <w:rPr>
                <w:rFonts w:cstheme="minorHAnsi"/>
                <w:b/>
                <w:bCs/>
                <w:sz w:val="22"/>
                <w:szCs w:val="22"/>
              </w:rPr>
              <w:t>Areas of note regarding demographics and/or emerging or existing issues around vaping</w:t>
            </w:r>
            <w:r w:rsidR="00925A6E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</w:tcPr>
          <w:p w14:paraId="75F6DB70" w14:textId="244CBA28" w:rsidR="000C6F48" w:rsidRPr="0055579F" w:rsidRDefault="000C6F48" w:rsidP="00DB6E0A">
            <w:pPr>
              <w:tabs>
                <w:tab w:val="left" w:pos="3504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6F607189" w14:textId="77777777" w:rsidR="0063501C" w:rsidRPr="0055579F" w:rsidRDefault="0063501C" w:rsidP="00DB6E0A">
      <w:pPr>
        <w:tabs>
          <w:tab w:val="left" w:pos="3504"/>
        </w:tabs>
        <w:rPr>
          <w:rFonts w:cstheme="minorHAnsi"/>
          <w:sz w:val="22"/>
          <w:szCs w:val="22"/>
        </w:rPr>
      </w:pPr>
    </w:p>
    <w:p w14:paraId="21645471" w14:textId="5B5B30B8" w:rsidR="0063501C" w:rsidRPr="0055579F" w:rsidRDefault="00D801E8" w:rsidP="00DB6E0A">
      <w:pPr>
        <w:tabs>
          <w:tab w:val="left" w:pos="3504"/>
        </w:tabs>
        <w:rPr>
          <w:rFonts w:cstheme="minorHAnsi"/>
          <w:b/>
          <w:sz w:val="22"/>
          <w:szCs w:val="22"/>
        </w:rPr>
      </w:pPr>
      <w:r w:rsidRPr="0055579F">
        <w:rPr>
          <w:rFonts w:cstheme="minorHAnsi"/>
          <w:b/>
          <w:bCs/>
          <w:sz w:val="22"/>
          <w:szCs w:val="22"/>
        </w:rPr>
        <w:t>Ethos and environment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1F5F5BF5" w14:textId="636AE04A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79E796F6" w14:textId="6742B323" w:rsidR="00D801E8" w:rsidRPr="0055579F" w:rsidRDefault="00D801E8" w:rsidP="00BC208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057AA718" w14:textId="2D3B1C9B" w:rsidR="00D801E8" w:rsidRPr="00D801E8" w:rsidRDefault="00D801E8" w:rsidP="000C6F48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4D690295" w14:textId="0B829B95" w:rsidR="00D801E8" w:rsidRPr="0055579F" w:rsidRDefault="00D801E8" w:rsidP="000C6F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162B6DCC" w14:textId="69CB536A" w:rsidR="00D801E8" w:rsidRPr="0055579F" w:rsidRDefault="00D801E8" w:rsidP="000C6F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27C705D0" w14:textId="503AE5E3" w:rsidTr="00D801E8">
        <w:trPr>
          <w:trHeight w:val="359"/>
        </w:trPr>
        <w:tc>
          <w:tcPr>
            <w:tcW w:w="11499" w:type="dxa"/>
            <w:shd w:val="clear" w:color="auto" w:fill="FFFFFF" w:themeFill="background1"/>
          </w:tcPr>
          <w:p w14:paraId="57565794" w14:textId="41485EEE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There is a clear vision and approach which values all CYP, promotes feelings of safety, a sense of belonging and supports the positive mental health and emotional wellbeing of CYP.</w:t>
            </w:r>
          </w:p>
        </w:tc>
        <w:tc>
          <w:tcPr>
            <w:tcW w:w="679" w:type="dxa"/>
            <w:shd w:val="clear" w:color="auto" w:fill="CC0000"/>
          </w:tcPr>
          <w:p w14:paraId="64B8FCCC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14AC34A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7E920FE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712103A9" w14:textId="4AAEB97D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68AA7201" w14:textId="3CA3F421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There is a coordinated whole school approach to vaping.</w:t>
            </w:r>
          </w:p>
        </w:tc>
        <w:tc>
          <w:tcPr>
            <w:tcW w:w="679" w:type="dxa"/>
            <w:shd w:val="clear" w:color="auto" w:fill="CC0000"/>
          </w:tcPr>
          <w:p w14:paraId="6DE479C9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1B5416A0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2C0EBE4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62C8B35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2780F581" w14:textId="50DFD649" w:rsidR="00D801E8" w:rsidRDefault="00D801E8">
      <w:r w:rsidRPr="0055579F">
        <w:rPr>
          <w:rFonts w:cstheme="minorHAnsi"/>
          <w:b/>
          <w:bCs/>
          <w:sz w:val="22"/>
          <w:szCs w:val="22"/>
        </w:rPr>
        <w:t>Leadership and governance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687F9206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41EDA4F0" w14:textId="77777777" w:rsidR="00D801E8" w:rsidRPr="0055579F" w:rsidRDefault="00D801E8" w:rsidP="00D801E8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54DD6CE5" w14:textId="19CDAEC6" w:rsidR="00D801E8" w:rsidRPr="0055579F" w:rsidRDefault="00D801E8" w:rsidP="00D801E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4DA761A3" w14:textId="77777777" w:rsidR="00D801E8" w:rsidRPr="0055579F" w:rsidRDefault="00D801E8" w:rsidP="00D801E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295978E4" w14:textId="77777777" w:rsidR="00D801E8" w:rsidRPr="0055579F" w:rsidRDefault="00D801E8" w:rsidP="00D801E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2F026BA1" w14:textId="77777777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5B9E92C7" w14:textId="0C643A26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5579F">
              <w:rPr>
                <w:rFonts w:cstheme="minorHAnsi"/>
                <w:sz w:val="22"/>
                <w:szCs w:val="22"/>
              </w:rPr>
              <w:t>Leaders and governors are up to date with guidance and legislation around vaping.</w:t>
            </w:r>
          </w:p>
        </w:tc>
        <w:tc>
          <w:tcPr>
            <w:tcW w:w="679" w:type="dxa"/>
            <w:shd w:val="clear" w:color="auto" w:fill="CC0000"/>
          </w:tcPr>
          <w:p w14:paraId="6D71CE55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42057E40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67C9425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05A85F7D" w14:textId="77777777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78BBED06" w14:textId="7C1771E2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5579F">
              <w:rPr>
                <w:rFonts w:cstheme="minorHAnsi"/>
                <w:sz w:val="22"/>
                <w:szCs w:val="22"/>
              </w:rPr>
              <w:t>Leaders and governors understand the current vaping issues which are impacting their schools / setting.</w:t>
            </w:r>
          </w:p>
        </w:tc>
        <w:tc>
          <w:tcPr>
            <w:tcW w:w="679" w:type="dxa"/>
            <w:shd w:val="clear" w:color="auto" w:fill="CC0000"/>
          </w:tcPr>
          <w:p w14:paraId="5C80EED2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5956E101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7502C0B9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78888CC5" w14:textId="77777777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61CCD32E" w14:textId="2A78E024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5579F">
              <w:rPr>
                <w:rFonts w:cstheme="minorHAnsi"/>
                <w:sz w:val="22"/>
                <w:szCs w:val="22"/>
              </w:rPr>
              <w:t>Leaders and governors oversee policy development and curriculum.</w:t>
            </w:r>
          </w:p>
        </w:tc>
        <w:tc>
          <w:tcPr>
            <w:tcW w:w="679" w:type="dxa"/>
            <w:shd w:val="clear" w:color="auto" w:fill="CC0000"/>
          </w:tcPr>
          <w:p w14:paraId="09CE765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509E86E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6CAB091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806EA87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42683394" w14:textId="77777777" w:rsidR="00D801E8" w:rsidRDefault="00D801E8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753F22FD" w14:textId="6C603899" w:rsidR="00D801E8" w:rsidRDefault="00D801E8">
      <w:r w:rsidRPr="0055579F">
        <w:rPr>
          <w:rFonts w:cstheme="minorHAnsi"/>
          <w:b/>
          <w:bCs/>
          <w:sz w:val="22"/>
          <w:szCs w:val="22"/>
        </w:rPr>
        <w:t>Policy development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12229D2B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283711AA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lastRenderedPageBreak/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63AD6625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0E349869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12C7B2CA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0EFECCDA" w14:textId="26A5B314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5AB64EA9" w14:textId="061FA2F8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5579F">
              <w:rPr>
                <w:rFonts w:eastAsia="Times New Roman" w:cstheme="minorHAnsi"/>
                <w:sz w:val="22"/>
                <w:szCs w:val="22"/>
                <w:lang w:eastAsia="en-GB"/>
              </w:rPr>
              <w:t>There is a separate vaping policy or guidance is incorporated into an existing drugs/alcohol policy (or the wider behaviour policy for primary schools).</w:t>
            </w:r>
          </w:p>
        </w:tc>
        <w:tc>
          <w:tcPr>
            <w:tcW w:w="679" w:type="dxa"/>
            <w:shd w:val="clear" w:color="auto" w:fill="CC0000"/>
          </w:tcPr>
          <w:p w14:paraId="269A781E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77BD17F4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3DD3D910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75071A4A" w14:textId="19F8B95F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4F221FD0" w14:textId="12592D09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5579F">
              <w:rPr>
                <w:rFonts w:eastAsia="Times New Roman" w:cstheme="minorHAnsi"/>
                <w:sz w:val="22"/>
                <w:szCs w:val="22"/>
                <w:lang w:eastAsia="en-GB"/>
              </w:rPr>
              <w:t>Relevant policies including behaviour and safeguarding are clear, up to date and aligned to national guidance and legislation.</w:t>
            </w:r>
          </w:p>
        </w:tc>
        <w:tc>
          <w:tcPr>
            <w:tcW w:w="679" w:type="dxa"/>
            <w:shd w:val="clear" w:color="auto" w:fill="CC0000"/>
          </w:tcPr>
          <w:p w14:paraId="6B2B3E6F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75D9ACB2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75EC21F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582B70DD" w14:textId="77777777" w:rsidTr="00D801E8">
        <w:trPr>
          <w:trHeight w:val="416"/>
        </w:trPr>
        <w:tc>
          <w:tcPr>
            <w:tcW w:w="11499" w:type="dxa"/>
            <w:shd w:val="clear" w:color="auto" w:fill="FFFFFF" w:themeFill="background1"/>
          </w:tcPr>
          <w:p w14:paraId="4D318E81" w14:textId="4DE142A3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5579F">
              <w:rPr>
                <w:rFonts w:eastAsia="Times New Roman" w:cstheme="minorHAnsi"/>
                <w:sz w:val="22"/>
                <w:szCs w:val="22"/>
                <w:lang w:eastAsia="en-GB"/>
              </w:rPr>
              <w:t>Policies are accessible to all and communicated appropriately with CYP, staff and families.</w:t>
            </w:r>
          </w:p>
        </w:tc>
        <w:tc>
          <w:tcPr>
            <w:tcW w:w="679" w:type="dxa"/>
            <w:shd w:val="clear" w:color="auto" w:fill="CC0000"/>
          </w:tcPr>
          <w:p w14:paraId="0134D74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6333DEF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57FE771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8FC422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113D5DA3" w14:textId="6959293C" w:rsidR="00D801E8" w:rsidRDefault="00D801E8">
      <w:r w:rsidRPr="0055579F">
        <w:rPr>
          <w:rFonts w:cstheme="minorHAnsi"/>
          <w:b/>
          <w:bCs/>
          <w:sz w:val="22"/>
          <w:szCs w:val="22"/>
        </w:rPr>
        <w:t>CYP voice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77AAA3FD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367F67EB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50C27A7C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4FE1D843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26326DCA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15FFCE92" w14:textId="22C0755A" w:rsidTr="00D801E8">
        <w:trPr>
          <w:trHeight w:val="357"/>
        </w:trPr>
        <w:tc>
          <w:tcPr>
            <w:tcW w:w="11499" w:type="dxa"/>
            <w:shd w:val="clear" w:color="auto" w:fill="FFFFFF" w:themeFill="background1"/>
          </w:tcPr>
          <w:p w14:paraId="7662AA20" w14:textId="57C9D7D4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There are clear processes and systems in place to collect CYP voice, with adaptations made to ensure all CYP can participate and feel heard</w:t>
            </w:r>
          </w:p>
        </w:tc>
        <w:tc>
          <w:tcPr>
            <w:tcW w:w="679" w:type="dxa"/>
            <w:shd w:val="clear" w:color="auto" w:fill="CC0000"/>
          </w:tcPr>
          <w:p w14:paraId="33DBE57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7706A39C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4C62BAFC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0481D23D" w14:textId="6E709498" w:rsidTr="00D801E8">
        <w:trPr>
          <w:trHeight w:val="355"/>
        </w:trPr>
        <w:tc>
          <w:tcPr>
            <w:tcW w:w="11499" w:type="dxa"/>
            <w:shd w:val="clear" w:color="auto" w:fill="FFFFFF" w:themeFill="background1"/>
          </w:tcPr>
          <w:p w14:paraId="5BD90347" w14:textId="5871E549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CYP voice is used to identify areas for development and evidence strengths.</w:t>
            </w:r>
          </w:p>
        </w:tc>
        <w:tc>
          <w:tcPr>
            <w:tcW w:w="679" w:type="dxa"/>
            <w:shd w:val="clear" w:color="auto" w:fill="CC0000"/>
          </w:tcPr>
          <w:p w14:paraId="2F5FAD2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450C480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70016BE0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9DAF39C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34C216E5" w14:textId="1595AB57" w:rsidR="00D801E8" w:rsidRDefault="00D801E8">
      <w:r w:rsidRPr="0055579F">
        <w:rPr>
          <w:rFonts w:cstheme="minorHAnsi"/>
          <w:b/>
          <w:bCs/>
          <w:sz w:val="22"/>
          <w:szCs w:val="22"/>
        </w:rPr>
        <w:t>Support and signposting for CYP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62E7AC1C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16249827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14EDC5F8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00D07E9C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5995CD09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0E700349" w14:textId="77777777" w:rsidTr="00D801E8">
        <w:trPr>
          <w:trHeight w:val="745"/>
        </w:trPr>
        <w:tc>
          <w:tcPr>
            <w:tcW w:w="11499" w:type="dxa"/>
            <w:shd w:val="clear" w:color="auto" w:fill="FFFFFF" w:themeFill="background1"/>
          </w:tcPr>
          <w:p w14:paraId="1211993F" w14:textId="01A7DAE5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Appropriate support is provided if a CYP shares w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55579F">
              <w:rPr>
                <w:rFonts w:cstheme="minorHAnsi"/>
                <w:sz w:val="22"/>
                <w:szCs w:val="22"/>
              </w:rPr>
              <w:t xml:space="preserve">th staff that they are vaping or concerned about someone else </w:t>
            </w:r>
            <w:commentRangeStart w:id="0"/>
            <w:r w:rsidRPr="0055579F">
              <w:rPr>
                <w:rFonts w:cstheme="minorHAnsi"/>
                <w:sz w:val="22"/>
                <w:szCs w:val="22"/>
              </w:rPr>
              <w:t>vaping</w:t>
            </w:r>
            <w:commentRangeEnd w:id="0"/>
            <w:r w:rsidRPr="0055579F">
              <w:rPr>
                <w:rStyle w:val="CommentReference"/>
                <w:rFonts w:cstheme="minorHAnsi"/>
                <w:sz w:val="22"/>
                <w:szCs w:val="22"/>
              </w:rPr>
              <w:commentReference w:id="0"/>
            </w:r>
            <w:r w:rsidRPr="0055579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679" w:type="dxa"/>
            <w:shd w:val="clear" w:color="auto" w:fill="CC0000"/>
          </w:tcPr>
          <w:p w14:paraId="4830CB6C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12F8B74B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6A9C6F8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5434A98D" w14:textId="77777777" w:rsidTr="00D801E8">
        <w:trPr>
          <w:trHeight w:val="745"/>
        </w:trPr>
        <w:tc>
          <w:tcPr>
            <w:tcW w:w="11499" w:type="dxa"/>
            <w:shd w:val="clear" w:color="auto" w:fill="FFFFFF" w:themeFill="background1"/>
          </w:tcPr>
          <w:p w14:paraId="610387FA" w14:textId="58A41DC4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Display posters / signage around the school which provide information and signpost CYP to appropriate support services.</w:t>
            </w:r>
          </w:p>
        </w:tc>
        <w:tc>
          <w:tcPr>
            <w:tcW w:w="679" w:type="dxa"/>
            <w:shd w:val="clear" w:color="auto" w:fill="CC0000"/>
          </w:tcPr>
          <w:p w14:paraId="5F8465D9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7544227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51EB8AB2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1A187A06" w14:textId="77777777" w:rsidTr="00D801E8">
        <w:trPr>
          <w:trHeight w:val="745"/>
        </w:trPr>
        <w:tc>
          <w:tcPr>
            <w:tcW w:w="11499" w:type="dxa"/>
            <w:shd w:val="clear" w:color="auto" w:fill="FFFFFF" w:themeFill="background1"/>
          </w:tcPr>
          <w:p w14:paraId="50DDF406" w14:textId="24103FF6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Responses to vaping related incidents are appropriate.</w:t>
            </w:r>
          </w:p>
        </w:tc>
        <w:tc>
          <w:tcPr>
            <w:tcW w:w="679" w:type="dxa"/>
            <w:shd w:val="clear" w:color="auto" w:fill="CC0000"/>
          </w:tcPr>
          <w:p w14:paraId="6DE76AD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61FA79B8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611C69EC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438FF78F" w14:textId="77777777" w:rsidTr="00D801E8">
        <w:trPr>
          <w:trHeight w:val="745"/>
        </w:trPr>
        <w:tc>
          <w:tcPr>
            <w:tcW w:w="11499" w:type="dxa"/>
            <w:shd w:val="clear" w:color="auto" w:fill="FFFFFF" w:themeFill="background1"/>
          </w:tcPr>
          <w:p w14:paraId="1D549E80" w14:textId="540BDA37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Reliable information from trusted sources is shared with CYP.</w:t>
            </w:r>
          </w:p>
        </w:tc>
        <w:tc>
          <w:tcPr>
            <w:tcW w:w="679" w:type="dxa"/>
            <w:shd w:val="clear" w:color="auto" w:fill="CC0000"/>
          </w:tcPr>
          <w:p w14:paraId="52514F65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145FA6B1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348A9557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E5CCC48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6F33F53C" w14:textId="77777777" w:rsidR="00F312A3" w:rsidRDefault="00F312A3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1BDDAD76" w14:textId="393CDE96" w:rsidR="00D801E8" w:rsidRPr="00D801E8" w:rsidRDefault="00D801E8">
      <w:pPr>
        <w:rPr>
          <w:rFonts w:cstheme="minorHAnsi"/>
          <w:b/>
          <w:bCs/>
          <w:sz w:val="22"/>
          <w:szCs w:val="22"/>
        </w:rPr>
      </w:pPr>
      <w:r w:rsidRPr="0055579F">
        <w:rPr>
          <w:rFonts w:cstheme="minorHAnsi"/>
          <w:b/>
          <w:bCs/>
          <w:sz w:val="22"/>
          <w:szCs w:val="22"/>
        </w:rPr>
        <w:t>Partnership with families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04D29DF7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7E672711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5652C191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3FD8C466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79F34608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2B0CC4C6" w14:textId="7127D162" w:rsidTr="00D801E8">
        <w:trPr>
          <w:trHeight w:val="501"/>
        </w:trPr>
        <w:tc>
          <w:tcPr>
            <w:tcW w:w="11499" w:type="dxa"/>
            <w:shd w:val="clear" w:color="auto" w:fill="FFFFFF" w:themeFill="background1"/>
          </w:tcPr>
          <w:p w14:paraId="6EC39058" w14:textId="523D3979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Communication with families about vaping is effective and adapted to meet family needs.</w:t>
            </w:r>
          </w:p>
        </w:tc>
        <w:tc>
          <w:tcPr>
            <w:tcW w:w="679" w:type="dxa"/>
            <w:shd w:val="clear" w:color="auto" w:fill="CC0000"/>
          </w:tcPr>
          <w:p w14:paraId="1F340E1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75A5AE2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1F9886EE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090298BB" w14:textId="77777777" w:rsidTr="00D801E8">
        <w:trPr>
          <w:trHeight w:val="616"/>
        </w:trPr>
        <w:tc>
          <w:tcPr>
            <w:tcW w:w="11499" w:type="dxa"/>
            <w:shd w:val="clear" w:color="auto" w:fill="FFFFFF" w:themeFill="background1"/>
          </w:tcPr>
          <w:p w14:paraId="6D600E40" w14:textId="26CC67C9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lastRenderedPageBreak/>
              <w:t>Families are supported to talk to their child about vaping.</w:t>
            </w:r>
          </w:p>
        </w:tc>
        <w:tc>
          <w:tcPr>
            <w:tcW w:w="679" w:type="dxa"/>
            <w:shd w:val="clear" w:color="auto" w:fill="CC0000"/>
          </w:tcPr>
          <w:p w14:paraId="190F997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067E8F59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/>
          </w:tcPr>
          <w:p w14:paraId="404DF025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49DECAF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57BD6485" w14:textId="545BE646" w:rsidR="00D801E8" w:rsidRDefault="00D801E8">
      <w:r w:rsidRPr="0055579F">
        <w:rPr>
          <w:rFonts w:cstheme="minorHAnsi"/>
          <w:b/>
          <w:bCs/>
          <w:sz w:val="22"/>
          <w:szCs w:val="22"/>
        </w:rPr>
        <w:t>Curriculum, teaching and learning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61DC0024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48803852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79FD8285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0D851544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458D8960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5AB8B41F" w14:textId="498B9845" w:rsidTr="00D801E8">
        <w:trPr>
          <w:trHeight w:val="558"/>
        </w:trPr>
        <w:tc>
          <w:tcPr>
            <w:tcW w:w="11499" w:type="dxa"/>
            <w:shd w:val="clear" w:color="auto" w:fill="FFFFFF" w:themeFill="background1"/>
          </w:tcPr>
          <w:p w14:paraId="7A973A9C" w14:textId="3A708F84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Opportunities to develop resilience and confidence are provided through age-appropriate high quality RSHE, PSHE, SMSC and the wider curriculum as well as ensuring a focus on mental health and wellbeing. </w:t>
            </w:r>
          </w:p>
        </w:tc>
        <w:tc>
          <w:tcPr>
            <w:tcW w:w="679" w:type="dxa"/>
            <w:shd w:val="clear" w:color="auto" w:fill="CC0000"/>
          </w:tcPr>
          <w:p w14:paraId="0B47C0B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09A7BC67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0B5D6BAF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0970D3ED" w14:textId="77777777" w:rsidTr="00D801E8">
        <w:trPr>
          <w:trHeight w:val="558"/>
        </w:trPr>
        <w:tc>
          <w:tcPr>
            <w:tcW w:w="11499" w:type="dxa"/>
            <w:shd w:val="clear" w:color="auto" w:fill="FFFFFF" w:themeFill="background1"/>
          </w:tcPr>
          <w:p w14:paraId="6EE42223" w14:textId="2DBB0635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As part of the curriculum on tobacco, alcohol and drug misuse, CYP who do not smoke are discouraged from experimenting with or regularly using vapes. </w:t>
            </w:r>
          </w:p>
        </w:tc>
        <w:tc>
          <w:tcPr>
            <w:tcW w:w="679" w:type="dxa"/>
            <w:shd w:val="clear" w:color="auto" w:fill="CC0000"/>
          </w:tcPr>
          <w:p w14:paraId="40FE7EFE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7E5AADDC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77CCDE15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06B84163" w14:textId="77777777" w:rsidTr="00D801E8">
        <w:trPr>
          <w:trHeight w:val="558"/>
        </w:trPr>
        <w:tc>
          <w:tcPr>
            <w:tcW w:w="11499" w:type="dxa"/>
            <w:shd w:val="clear" w:color="auto" w:fill="FFFFFF" w:themeFill="background1"/>
          </w:tcPr>
          <w:p w14:paraId="45BA2BC5" w14:textId="7AE9DEDD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 xml:space="preserve">High quality resources are used to support teaching and learning. </w:t>
            </w:r>
          </w:p>
        </w:tc>
        <w:tc>
          <w:tcPr>
            <w:tcW w:w="679" w:type="dxa"/>
            <w:shd w:val="clear" w:color="auto" w:fill="CC0000"/>
          </w:tcPr>
          <w:p w14:paraId="122DF7A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0882F919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239ADA5F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92989B6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27DF48EF" w14:textId="055CEE2B" w:rsidR="00D801E8" w:rsidRDefault="00D801E8">
      <w:r w:rsidRPr="0055579F">
        <w:rPr>
          <w:rFonts w:cstheme="minorHAnsi"/>
          <w:b/>
          <w:bCs/>
          <w:sz w:val="22"/>
          <w:szCs w:val="22"/>
        </w:rPr>
        <w:t>Staff CPD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1B131FE0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679850DA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5962A7EA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38D0AB5A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384A7263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46645E3D" w14:textId="42CE1EF9" w:rsidTr="00D801E8">
        <w:trPr>
          <w:trHeight w:val="582"/>
        </w:trPr>
        <w:tc>
          <w:tcPr>
            <w:tcW w:w="11499" w:type="dxa"/>
            <w:shd w:val="clear" w:color="auto" w:fill="FFFFFF" w:themeFill="background1"/>
          </w:tcPr>
          <w:p w14:paraId="13EE34D2" w14:textId="366BF31A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All staff access relevant CPD opportunities around vaping.</w:t>
            </w:r>
          </w:p>
        </w:tc>
        <w:tc>
          <w:tcPr>
            <w:tcW w:w="679" w:type="dxa"/>
            <w:shd w:val="clear" w:color="auto" w:fill="CC0000"/>
          </w:tcPr>
          <w:p w14:paraId="589AD182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02FD1057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7887062D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2060A1FE" w14:textId="77777777" w:rsidTr="00D801E8">
        <w:trPr>
          <w:trHeight w:val="579"/>
        </w:trPr>
        <w:tc>
          <w:tcPr>
            <w:tcW w:w="11499" w:type="dxa"/>
            <w:shd w:val="clear" w:color="auto" w:fill="FFFFFF" w:themeFill="background1"/>
          </w:tcPr>
          <w:p w14:paraId="70756D07" w14:textId="36E8C9EB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All staff are up to date with other relevant and preventative training such as mental health, RSHE, behaviour and safeguarding.</w:t>
            </w:r>
          </w:p>
        </w:tc>
        <w:tc>
          <w:tcPr>
            <w:tcW w:w="679" w:type="dxa"/>
            <w:shd w:val="clear" w:color="auto" w:fill="CC0000"/>
          </w:tcPr>
          <w:p w14:paraId="63E4876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512B369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01D9ECDE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02E4330" w14:textId="77777777" w:rsidR="00D801E8" w:rsidRDefault="00D801E8">
      <w:pPr>
        <w:rPr>
          <w:rFonts w:cstheme="minorHAnsi"/>
          <w:b/>
          <w:bCs/>
          <w:sz w:val="22"/>
          <w:szCs w:val="22"/>
        </w:rPr>
      </w:pPr>
    </w:p>
    <w:p w14:paraId="136DB699" w14:textId="502A41E1" w:rsidR="00D801E8" w:rsidRDefault="00D801E8">
      <w:r w:rsidRPr="0055579F">
        <w:rPr>
          <w:rFonts w:cstheme="minorHAnsi"/>
          <w:b/>
          <w:bCs/>
          <w:sz w:val="22"/>
          <w:szCs w:val="22"/>
        </w:rPr>
        <w:t>Assessment, recording and reporting</w:t>
      </w:r>
    </w:p>
    <w:tbl>
      <w:tblPr>
        <w:tblStyle w:val="TableGrid"/>
        <w:tblW w:w="13998" w:type="dxa"/>
        <w:tblLayout w:type="fixed"/>
        <w:tblLook w:val="04A0" w:firstRow="1" w:lastRow="0" w:firstColumn="1" w:lastColumn="0" w:noHBand="0" w:noVBand="1"/>
      </w:tblPr>
      <w:tblGrid>
        <w:gridCol w:w="11499"/>
        <w:gridCol w:w="679"/>
        <w:gridCol w:w="945"/>
        <w:gridCol w:w="875"/>
      </w:tblGrid>
      <w:tr w:rsidR="00D801E8" w:rsidRPr="0055579F" w14:paraId="573EB9F3" w14:textId="77777777" w:rsidTr="00D801E8">
        <w:trPr>
          <w:trHeight w:val="550"/>
          <w:tblHeader/>
        </w:trPr>
        <w:tc>
          <w:tcPr>
            <w:tcW w:w="11499" w:type="dxa"/>
            <w:shd w:val="clear" w:color="auto" w:fill="FFFFFF" w:themeFill="background1"/>
          </w:tcPr>
          <w:p w14:paraId="5CDA66C2" w14:textId="77777777" w:rsidR="00D801E8" w:rsidRPr="0055579F" w:rsidRDefault="00D801E8" w:rsidP="000347A3">
            <w:pPr>
              <w:rPr>
                <w:rFonts w:cstheme="minorHAnsi"/>
                <w:b/>
                <w:sz w:val="22"/>
                <w:szCs w:val="22"/>
              </w:rPr>
            </w:pPr>
            <w:r w:rsidRPr="0055579F">
              <w:rPr>
                <w:rFonts w:cstheme="minorHAnsi"/>
                <w:b/>
                <w:sz w:val="22"/>
                <w:szCs w:val="22"/>
              </w:rPr>
              <w:t>Best practice example</w:t>
            </w:r>
          </w:p>
        </w:tc>
        <w:tc>
          <w:tcPr>
            <w:tcW w:w="679" w:type="dxa"/>
            <w:shd w:val="clear" w:color="auto" w:fill="CC0000"/>
          </w:tcPr>
          <w:p w14:paraId="41A50D0C" w14:textId="77777777" w:rsidR="00D801E8" w:rsidRPr="00D801E8" w:rsidRDefault="00D801E8" w:rsidP="000347A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801E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Red</w:t>
            </w:r>
          </w:p>
        </w:tc>
        <w:tc>
          <w:tcPr>
            <w:tcW w:w="945" w:type="dxa"/>
            <w:shd w:val="clear" w:color="auto" w:fill="FFC000"/>
          </w:tcPr>
          <w:p w14:paraId="73F266C3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75" w:type="dxa"/>
            <w:shd w:val="clear" w:color="auto" w:fill="A8D08D"/>
          </w:tcPr>
          <w:p w14:paraId="355D4C23" w14:textId="77777777" w:rsidR="00D801E8" w:rsidRPr="0055579F" w:rsidRDefault="00D801E8" w:rsidP="000347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Green</w:t>
            </w:r>
          </w:p>
        </w:tc>
      </w:tr>
      <w:tr w:rsidR="00D801E8" w:rsidRPr="0055579F" w14:paraId="23FDED36" w14:textId="69782703" w:rsidTr="00D801E8">
        <w:trPr>
          <w:trHeight w:val="464"/>
        </w:trPr>
        <w:tc>
          <w:tcPr>
            <w:tcW w:w="11499" w:type="dxa"/>
            <w:shd w:val="clear" w:color="auto" w:fill="FFFFFF" w:themeFill="background1"/>
          </w:tcPr>
          <w:p w14:paraId="7152B11E" w14:textId="60A20C83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Clear recording procedures are in place.</w:t>
            </w:r>
          </w:p>
        </w:tc>
        <w:tc>
          <w:tcPr>
            <w:tcW w:w="679" w:type="dxa"/>
            <w:shd w:val="clear" w:color="auto" w:fill="CC0000"/>
          </w:tcPr>
          <w:p w14:paraId="1AF7803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5CAC7E22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/>
          </w:tcPr>
          <w:p w14:paraId="417D8A36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5309C1C6" w14:textId="4938F4B9" w:rsidTr="00D801E8">
        <w:trPr>
          <w:trHeight w:val="462"/>
        </w:trPr>
        <w:tc>
          <w:tcPr>
            <w:tcW w:w="11499" w:type="dxa"/>
            <w:shd w:val="clear" w:color="auto" w:fill="FFFFFF" w:themeFill="background1"/>
          </w:tcPr>
          <w:p w14:paraId="390E90BD" w14:textId="5EEAB128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>Effective processes and systems are in place for audit and analysis of all recorded vaping incidents in the school</w:t>
            </w:r>
          </w:p>
        </w:tc>
        <w:tc>
          <w:tcPr>
            <w:tcW w:w="679" w:type="dxa"/>
            <w:shd w:val="clear" w:color="auto" w:fill="CC0000"/>
          </w:tcPr>
          <w:p w14:paraId="10ACDF93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4CB2271E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2911400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59EC64B6" w14:textId="77777777" w:rsidTr="00D801E8">
        <w:trPr>
          <w:trHeight w:val="462"/>
        </w:trPr>
        <w:tc>
          <w:tcPr>
            <w:tcW w:w="11499" w:type="dxa"/>
            <w:shd w:val="clear" w:color="auto" w:fill="FFFFFF" w:themeFill="background1"/>
          </w:tcPr>
          <w:p w14:paraId="0FFEED00" w14:textId="03CC29E0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cstheme="minorHAnsi"/>
                <w:sz w:val="22"/>
                <w:szCs w:val="22"/>
              </w:rPr>
              <w:t xml:space="preserve">Any illegal sales of vapes are reported to the local authority. </w:t>
            </w:r>
          </w:p>
        </w:tc>
        <w:tc>
          <w:tcPr>
            <w:tcW w:w="679" w:type="dxa"/>
            <w:shd w:val="clear" w:color="auto" w:fill="CC0000"/>
          </w:tcPr>
          <w:p w14:paraId="41D6CA87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6824795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5A506981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01E8" w:rsidRPr="0055579F" w14:paraId="4326822E" w14:textId="29AF743D" w:rsidTr="00D801E8">
        <w:trPr>
          <w:trHeight w:val="462"/>
        </w:trPr>
        <w:tc>
          <w:tcPr>
            <w:tcW w:w="11499" w:type="dxa"/>
            <w:shd w:val="clear" w:color="auto" w:fill="FFFFFF" w:themeFill="background1"/>
          </w:tcPr>
          <w:p w14:paraId="640A0F9B" w14:textId="6C691467" w:rsidR="00D801E8" w:rsidRPr="0055579F" w:rsidRDefault="00D801E8" w:rsidP="000C6F48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cstheme="minorHAnsi"/>
                <w:sz w:val="22"/>
                <w:szCs w:val="22"/>
              </w:rPr>
            </w:pPr>
            <w:r w:rsidRPr="0055579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Adverse reactions associated with vaping of </w:t>
            </w:r>
            <w:r w:rsidRPr="0055579F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both nicotine and non-nicotine containing e-cigarettes are reported to the MHRA via the </w:t>
            </w:r>
            <w:hyperlink r:id="rId12" w:history="1">
              <w:r w:rsidRPr="0055579F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eastAsia="en-GB"/>
                </w:rPr>
                <w:t>yellow card scheme</w:t>
              </w:r>
            </w:hyperlink>
          </w:p>
        </w:tc>
        <w:tc>
          <w:tcPr>
            <w:tcW w:w="679" w:type="dxa"/>
            <w:shd w:val="clear" w:color="auto" w:fill="CC0000"/>
          </w:tcPr>
          <w:p w14:paraId="7C46CCAA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C000"/>
          </w:tcPr>
          <w:p w14:paraId="5C3C61FE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8D08D" w:themeFill="accent6" w:themeFillTint="99"/>
          </w:tcPr>
          <w:p w14:paraId="4B0B1A95" w14:textId="77777777" w:rsidR="00D801E8" w:rsidRPr="0055579F" w:rsidRDefault="00D801E8" w:rsidP="005E75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311426D" w14:textId="77777777" w:rsidR="00F67C6A" w:rsidRDefault="00F67C6A" w:rsidP="628F8547">
      <w:pPr>
        <w:tabs>
          <w:tab w:val="left" w:pos="3504"/>
        </w:tabs>
      </w:pPr>
    </w:p>
    <w:sectPr w:rsidR="00F67C6A" w:rsidSect="00635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sie Rayner-Wells" w:date="2023-09-07T13:23:00Z" w:initials="JRW">
    <w:p w14:paraId="3A2A1DEE" w14:textId="77777777" w:rsidR="00D801E8" w:rsidRDefault="00D801E8" w:rsidP="00182281">
      <w:pPr>
        <w:pStyle w:val="CommentText"/>
      </w:pPr>
      <w:r>
        <w:rPr>
          <w:rStyle w:val="CommentReference"/>
        </w:rPr>
        <w:annotationRef/>
      </w:r>
      <w:r>
        <w:t>Maybe add something around signage to support services around school environment?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A1DE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44D54" w16cex:dateUtc="2023-09-07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A1DEE" w16cid:durableId="28A44D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31"/>
    <w:multiLevelType w:val="hybridMultilevel"/>
    <w:tmpl w:val="CCBA9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D2A81"/>
    <w:multiLevelType w:val="hybridMultilevel"/>
    <w:tmpl w:val="7FAA4350"/>
    <w:lvl w:ilvl="0" w:tplc="094CE42E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84413"/>
    <w:multiLevelType w:val="hybridMultilevel"/>
    <w:tmpl w:val="0240C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517"/>
    <w:multiLevelType w:val="hybridMultilevel"/>
    <w:tmpl w:val="D8782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C4431"/>
    <w:multiLevelType w:val="hybridMultilevel"/>
    <w:tmpl w:val="D7322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695C"/>
    <w:multiLevelType w:val="hybridMultilevel"/>
    <w:tmpl w:val="D21C1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50D0"/>
    <w:multiLevelType w:val="hybridMultilevel"/>
    <w:tmpl w:val="E7E00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74B8B"/>
    <w:multiLevelType w:val="hybridMultilevel"/>
    <w:tmpl w:val="F4A4E622"/>
    <w:lvl w:ilvl="0" w:tplc="B8F29F3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27B71"/>
    <w:multiLevelType w:val="hybridMultilevel"/>
    <w:tmpl w:val="DDD00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20EB"/>
    <w:multiLevelType w:val="hybridMultilevel"/>
    <w:tmpl w:val="2B52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3D30"/>
    <w:multiLevelType w:val="hybridMultilevel"/>
    <w:tmpl w:val="49106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4D93"/>
    <w:multiLevelType w:val="hybridMultilevel"/>
    <w:tmpl w:val="E86C0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580B"/>
    <w:multiLevelType w:val="hybridMultilevel"/>
    <w:tmpl w:val="6F4C1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30C"/>
    <w:multiLevelType w:val="hybridMultilevel"/>
    <w:tmpl w:val="E5F8E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46CF"/>
    <w:multiLevelType w:val="hybridMultilevel"/>
    <w:tmpl w:val="D21C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5768"/>
    <w:multiLevelType w:val="hybridMultilevel"/>
    <w:tmpl w:val="45765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2EB"/>
    <w:multiLevelType w:val="hybridMultilevel"/>
    <w:tmpl w:val="F16EC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847D6"/>
    <w:multiLevelType w:val="hybridMultilevel"/>
    <w:tmpl w:val="45F41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E4B2B"/>
    <w:multiLevelType w:val="hybridMultilevel"/>
    <w:tmpl w:val="0E1CC7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85C47"/>
    <w:multiLevelType w:val="hybridMultilevel"/>
    <w:tmpl w:val="B33EEA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A7172"/>
    <w:multiLevelType w:val="hybridMultilevel"/>
    <w:tmpl w:val="F4AE5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558C5"/>
    <w:multiLevelType w:val="hybridMultilevel"/>
    <w:tmpl w:val="8C9A9A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86397"/>
    <w:multiLevelType w:val="hybridMultilevel"/>
    <w:tmpl w:val="05A04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C071C"/>
    <w:multiLevelType w:val="hybridMultilevel"/>
    <w:tmpl w:val="F12CC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87F31"/>
    <w:multiLevelType w:val="hybridMultilevel"/>
    <w:tmpl w:val="1A50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120E8"/>
    <w:multiLevelType w:val="hybridMultilevel"/>
    <w:tmpl w:val="DA268CA4"/>
    <w:lvl w:ilvl="0" w:tplc="094CE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06703"/>
    <w:multiLevelType w:val="hybridMultilevel"/>
    <w:tmpl w:val="4E72F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1386F"/>
    <w:multiLevelType w:val="hybridMultilevel"/>
    <w:tmpl w:val="78E442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768D6"/>
    <w:multiLevelType w:val="hybridMultilevel"/>
    <w:tmpl w:val="5358D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12CFE"/>
    <w:multiLevelType w:val="hybridMultilevel"/>
    <w:tmpl w:val="AD703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7E6"/>
    <w:multiLevelType w:val="hybridMultilevel"/>
    <w:tmpl w:val="64FC786A"/>
    <w:lvl w:ilvl="0" w:tplc="94CCD398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  <w:color w:val="E306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F3143"/>
    <w:multiLevelType w:val="hybridMultilevel"/>
    <w:tmpl w:val="11FA05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430206">
    <w:abstractNumId w:val="0"/>
  </w:num>
  <w:num w:numId="2" w16cid:durableId="1086027822">
    <w:abstractNumId w:val="27"/>
  </w:num>
  <w:num w:numId="3" w16cid:durableId="483358155">
    <w:abstractNumId w:val="21"/>
  </w:num>
  <w:num w:numId="4" w16cid:durableId="1736316889">
    <w:abstractNumId w:val="3"/>
  </w:num>
  <w:num w:numId="5" w16cid:durableId="984892345">
    <w:abstractNumId w:val="16"/>
  </w:num>
  <w:num w:numId="6" w16cid:durableId="1620263654">
    <w:abstractNumId w:val="6"/>
  </w:num>
  <w:num w:numId="7" w16cid:durableId="756100207">
    <w:abstractNumId w:val="10"/>
  </w:num>
  <w:num w:numId="8" w16cid:durableId="1232278013">
    <w:abstractNumId w:val="26"/>
  </w:num>
  <w:num w:numId="9" w16cid:durableId="1089693687">
    <w:abstractNumId w:val="17"/>
  </w:num>
  <w:num w:numId="10" w16cid:durableId="1169175538">
    <w:abstractNumId w:val="28"/>
  </w:num>
  <w:num w:numId="11" w16cid:durableId="104232856">
    <w:abstractNumId w:val="31"/>
  </w:num>
  <w:num w:numId="12" w16cid:durableId="453451985">
    <w:abstractNumId w:val="9"/>
  </w:num>
  <w:num w:numId="13" w16cid:durableId="678696684">
    <w:abstractNumId w:val="25"/>
  </w:num>
  <w:num w:numId="14" w16cid:durableId="585574592">
    <w:abstractNumId w:val="1"/>
  </w:num>
  <w:num w:numId="15" w16cid:durableId="1683320596">
    <w:abstractNumId w:val="15"/>
  </w:num>
  <w:num w:numId="16" w16cid:durableId="631328523">
    <w:abstractNumId w:val="8"/>
  </w:num>
  <w:num w:numId="17" w16cid:durableId="968514487">
    <w:abstractNumId w:val="29"/>
  </w:num>
  <w:num w:numId="18" w16cid:durableId="519394119">
    <w:abstractNumId w:val="24"/>
  </w:num>
  <w:num w:numId="19" w16cid:durableId="1725832243">
    <w:abstractNumId w:val="20"/>
  </w:num>
  <w:num w:numId="20" w16cid:durableId="1587569164">
    <w:abstractNumId w:val="12"/>
  </w:num>
  <w:num w:numId="21" w16cid:durableId="306401292">
    <w:abstractNumId w:val="13"/>
  </w:num>
  <w:num w:numId="22" w16cid:durableId="1018846627">
    <w:abstractNumId w:val="2"/>
  </w:num>
  <w:num w:numId="23" w16cid:durableId="1164517624">
    <w:abstractNumId w:val="11"/>
  </w:num>
  <w:num w:numId="24" w16cid:durableId="653989495">
    <w:abstractNumId w:val="14"/>
  </w:num>
  <w:num w:numId="25" w16cid:durableId="1378429600">
    <w:abstractNumId w:val="4"/>
  </w:num>
  <w:num w:numId="26" w16cid:durableId="908736745">
    <w:abstractNumId w:val="30"/>
  </w:num>
  <w:num w:numId="27" w16cid:durableId="1977175660">
    <w:abstractNumId w:val="7"/>
  </w:num>
  <w:num w:numId="28" w16cid:durableId="69041379">
    <w:abstractNumId w:val="23"/>
  </w:num>
  <w:num w:numId="29" w16cid:durableId="1856655190">
    <w:abstractNumId w:val="19"/>
  </w:num>
  <w:num w:numId="30" w16cid:durableId="1597202638">
    <w:abstractNumId w:val="22"/>
  </w:num>
  <w:num w:numId="31" w16cid:durableId="704985501">
    <w:abstractNumId w:val="5"/>
  </w:num>
  <w:num w:numId="32" w16cid:durableId="55478211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ie Rayner-Wells">
    <w15:presenceInfo w15:providerId="AD" w15:userId="S::j.rayner-wells@norfolk.gov.uk::57c9d3a1-417e-42e9-881b-b163063ad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0A"/>
    <w:rsid w:val="0000798F"/>
    <w:rsid w:val="000109AF"/>
    <w:rsid w:val="000300B3"/>
    <w:rsid w:val="00037DB2"/>
    <w:rsid w:val="00046F75"/>
    <w:rsid w:val="0005418B"/>
    <w:rsid w:val="00061782"/>
    <w:rsid w:val="00080411"/>
    <w:rsid w:val="00081B67"/>
    <w:rsid w:val="00084578"/>
    <w:rsid w:val="00093E78"/>
    <w:rsid w:val="000A1BD3"/>
    <w:rsid w:val="000A38D8"/>
    <w:rsid w:val="000B091D"/>
    <w:rsid w:val="000B5567"/>
    <w:rsid w:val="000B7236"/>
    <w:rsid w:val="000B7D55"/>
    <w:rsid w:val="000C352B"/>
    <w:rsid w:val="000C6F48"/>
    <w:rsid w:val="000D57CF"/>
    <w:rsid w:val="000E53FB"/>
    <w:rsid w:val="000F6385"/>
    <w:rsid w:val="000F742F"/>
    <w:rsid w:val="000F7E32"/>
    <w:rsid w:val="000F7FF9"/>
    <w:rsid w:val="0010221C"/>
    <w:rsid w:val="001038EF"/>
    <w:rsid w:val="0010740F"/>
    <w:rsid w:val="00116859"/>
    <w:rsid w:val="00124FED"/>
    <w:rsid w:val="00125EE6"/>
    <w:rsid w:val="00132DAA"/>
    <w:rsid w:val="001465A8"/>
    <w:rsid w:val="00172D82"/>
    <w:rsid w:val="00182431"/>
    <w:rsid w:val="00186B00"/>
    <w:rsid w:val="00197205"/>
    <w:rsid w:val="001A430D"/>
    <w:rsid w:val="001A5725"/>
    <w:rsid w:val="001B33D8"/>
    <w:rsid w:val="001B4E86"/>
    <w:rsid w:val="001C5C17"/>
    <w:rsid w:val="001D49CD"/>
    <w:rsid w:val="001D49CF"/>
    <w:rsid w:val="002172F4"/>
    <w:rsid w:val="002202F5"/>
    <w:rsid w:val="0022469B"/>
    <w:rsid w:val="00252294"/>
    <w:rsid w:val="002553D2"/>
    <w:rsid w:val="00257227"/>
    <w:rsid w:val="00272634"/>
    <w:rsid w:val="002739AE"/>
    <w:rsid w:val="00277313"/>
    <w:rsid w:val="00293DE1"/>
    <w:rsid w:val="002951AA"/>
    <w:rsid w:val="00296851"/>
    <w:rsid w:val="002A2EA4"/>
    <w:rsid w:val="002A7F54"/>
    <w:rsid w:val="002B01C9"/>
    <w:rsid w:val="002B79DE"/>
    <w:rsid w:val="002C2462"/>
    <w:rsid w:val="002C7092"/>
    <w:rsid w:val="002D6ED0"/>
    <w:rsid w:val="002E46C2"/>
    <w:rsid w:val="00304EFA"/>
    <w:rsid w:val="0030657F"/>
    <w:rsid w:val="00351265"/>
    <w:rsid w:val="00353797"/>
    <w:rsid w:val="00371B3C"/>
    <w:rsid w:val="003807BF"/>
    <w:rsid w:val="00381330"/>
    <w:rsid w:val="00387515"/>
    <w:rsid w:val="003A3AE6"/>
    <w:rsid w:val="003B0CB1"/>
    <w:rsid w:val="003C16DB"/>
    <w:rsid w:val="003D3E9D"/>
    <w:rsid w:val="003D5B2F"/>
    <w:rsid w:val="003E40FD"/>
    <w:rsid w:val="003F7260"/>
    <w:rsid w:val="00405F31"/>
    <w:rsid w:val="00412929"/>
    <w:rsid w:val="00436078"/>
    <w:rsid w:val="004417A0"/>
    <w:rsid w:val="00445022"/>
    <w:rsid w:val="0046081A"/>
    <w:rsid w:val="0046637B"/>
    <w:rsid w:val="004739E0"/>
    <w:rsid w:val="00481194"/>
    <w:rsid w:val="00484A75"/>
    <w:rsid w:val="00487130"/>
    <w:rsid w:val="00490546"/>
    <w:rsid w:val="004C12CB"/>
    <w:rsid w:val="004C48A7"/>
    <w:rsid w:val="004C73B8"/>
    <w:rsid w:val="004D0B43"/>
    <w:rsid w:val="004D2175"/>
    <w:rsid w:val="004D37E0"/>
    <w:rsid w:val="004D400C"/>
    <w:rsid w:val="004D47C3"/>
    <w:rsid w:val="004D56A4"/>
    <w:rsid w:val="004D6CF5"/>
    <w:rsid w:val="004D79CF"/>
    <w:rsid w:val="004E38A6"/>
    <w:rsid w:val="004E5DEB"/>
    <w:rsid w:val="004F22BB"/>
    <w:rsid w:val="00506DC6"/>
    <w:rsid w:val="005070AB"/>
    <w:rsid w:val="00521B06"/>
    <w:rsid w:val="00555437"/>
    <w:rsid w:val="0055579F"/>
    <w:rsid w:val="00560AB6"/>
    <w:rsid w:val="00562095"/>
    <w:rsid w:val="00564CE2"/>
    <w:rsid w:val="00575903"/>
    <w:rsid w:val="005847D5"/>
    <w:rsid w:val="00597DC8"/>
    <w:rsid w:val="005B4A63"/>
    <w:rsid w:val="005D1BE3"/>
    <w:rsid w:val="005E7593"/>
    <w:rsid w:val="0063501C"/>
    <w:rsid w:val="006425B9"/>
    <w:rsid w:val="00647035"/>
    <w:rsid w:val="006475C3"/>
    <w:rsid w:val="00651500"/>
    <w:rsid w:val="006643D6"/>
    <w:rsid w:val="00666178"/>
    <w:rsid w:val="006738B2"/>
    <w:rsid w:val="00682E91"/>
    <w:rsid w:val="00686FD9"/>
    <w:rsid w:val="006A5638"/>
    <w:rsid w:val="006C2D42"/>
    <w:rsid w:val="006C33C6"/>
    <w:rsid w:val="006C6831"/>
    <w:rsid w:val="006C764F"/>
    <w:rsid w:val="006D138F"/>
    <w:rsid w:val="006E0E39"/>
    <w:rsid w:val="006E3731"/>
    <w:rsid w:val="006E7B51"/>
    <w:rsid w:val="006F663E"/>
    <w:rsid w:val="0070008F"/>
    <w:rsid w:val="00706F8A"/>
    <w:rsid w:val="00711A3B"/>
    <w:rsid w:val="0072133F"/>
    <w:rsid w:val="00725722"/>
    <w:rsid w:val="00725742"/>
    <w:rsid w:val="00736353"/>
    <w:rsid w:val="00740BE9"/>
    <w:rsid w:val="00750355"/>
    <w:rsid w:val="007558C8"/>
    <w:rsid w:val="00764F9E"/>
    <w:rsid w:val="00774673"/>
    <w:rsid w:val="00791976"/>
    <w:rsid w:val="007B0E3E"/>
    <w:rsid w:val="007B2ADB"/>
    <w:rsid w:val="007B6D0F"/>
    <w:rsid w:val="007C7EEA"/>
    <w:rsid w:val="007D21B9"/>
    <w:rsid w:val="007D527A"/>
    <w:rsid w:val="007F1268"/>
    <w:rsid w:val="00807AA0"/>
    <w:rsid w:val="00812AC3"/>
    <w:rsid w:val="00840D28"/>
    <w:rsid w:val="00843976"/>
    <w:rsid w:val="00850C44"/>
    <w:rsid w:val="00851A4B"/>
    <w:rsid w:val="00861138"/>
    <w:rsid w:val="0087116B"/>
    <w:rsid w:val="00875911"/>
    <w:rsid w:val="00882E4A"/>
    <w:rsid w:val="008853DC"/>
    <w:rsid w:val="00894097"/>
    <w:rsid w:val="00895FF5"/>
    <w:rsid w:val="008D3EF5"/>
    <w:rsid w:val="00925A6E"/>
    <w:rsid w:val="009304E2"/>
    <w:rsid w:val="0094456A"/>
    <w:rsid w:val="00946C7D"/>
    <w:rsid w:val="009551DF"/>
    <w:rsid w:val="00956F86"/>
    <w:rsid w:val="00970251"/>
    <w:rsid w:val="00984F6F"/>
    <w:rsid w:val="00993B8C"/>
    <w:rsid w:val="00994C9C"/>
    <w:rsid w:val="009A0456"/>
    <w:rsid w:val="009A0672"/>
    <w:rsid w:val="009A2A46"/>
    <w:rsid w:val="009B4531"/>
    <w:rsid w:val="009B45FF"/>
    <w:rsid w:val="009B7FD0"/>
    <w:rsid w:val="009C6583"/>
    <w:rsid w:val="009E43A6"/>
    <w:rsid w:val="009E672D"/>
    <w:rsid w:val="009F0502"/>
    <w:rsid w:val="00A012CC"/>
    <w:rsid w:val="00A031FE"/>
    <w:rsid w:val="00A04D8F"/>
    <w:rsid w:val="00A07C3C"/>
    <w:rsid w:val="00A13671"/>
    <w:rsid w:val="00A2357A"/>
    <w:rsid w:val="00A276C2"/>
    <w:rsid w:val="00A32744"/>
    <w:rsid w:val="00A33C88"/>
    <w:rsid w:val="00A50AED"/>
    <w:rsid w:val="00A53425"/>
    <w:rsid w:val="00A6595B"/>
    <w:rsid w:val="00A821EB"/>
    <w:rsid w:val="00A929F6"/>
    <w:rsid w:val="00AB4846"/>
    <w:rsid w:val="00AC3099"/>
    <w:rsid w:val="00AC4B88"/>
    <w:rsid w:val="00AE6F8C"/>
    <w:rsid w:val="00AE7982"/>
    <w:rsid w:val="00AF2B18"/>
    <w:rsid w:val="00AF2F53"/>
    <w:rsid w:val="00B0335F"/>
    <w:rsid w:val="00B11E11"/>
    <w:rsid w:val="00B22959"/>
    <w:rsid w:val="00B44519"/>
    <w:rsid w:val="00B517A5"/>
    <w:rsid w:val="00B604D3"/>
    <w:rsid w:val="00B6077B"/>
    <w:rsid w:val="00B65E11"/>
    <w:rsid w:val="00B66396"/>
    <w:rsid w:val="00B7271F"/>
    <w:rsid w:val="00B90C03"/>
    <w:rsid w:val="00BB386C"/>
    <w:rsid w:val="00BC0396"/>
    <w:rsid w:val="00BC2083"/>
    <w:rsid w:val="00BD7E58"/>
    <w:rsid w:val="00BE15C9"/>
    <w:rsid w:val="00BE31F7"/>
    <w:rsid w:val="00BF06E0"/>
    <w:rsid w:val="00BF6995"/>
    <w:rsid w:val="00C07D02"/>
    <w:rsid w:val="00C14399"/>
    <w:rsid w:val="00C214E5"/>
    <w:rsid w:val="00C2563A"/>
    <w:rsid w:val="00C27F6E"/>
    <w:rsid w:val="00C32EE6"/>
    <w:rsid w:val="00C351F4"/>
    <w:rsid w:val="00C36355"/>
    <w:rsid w:val="00C523DE"/>
    <w:rsid w:val="00C569E1"/>
    <w:rsid w:val="00C6052E"/>
    <w:rsid w:val="00C63808"/>
    <w:rsid w:val="00C67404"/>
    <w:rsid w:val="00C73C71"/>
    <w:rsid w:val="00C84341"/>
    <w:rsid w:val="00C96EE6"/>
    <w:rsid w:val="00C97AB8"/>
    <w:rsid w:val="00CA692A"/>
    <w:rsid w:val="00CB0015"/>
    <w:rsid w:val="00CD1C08"/>
    <w:rsid w:val="00CD4385"/>
    <w:rsid w:val="00CE67EC"/>
    <w:rsid w:val="00CE7A62"/>
    <w:rsid w:val="00CF3403"/>
    <w:rsid w:val="00D01BDD"/>
    <w:rsid w:val="00D177C7"/>
    <w:rsid w:val="00D362EE"/>
    <w:rsid w:val="00D36650"/>
    <w:rsid w:val="00D801E8"/>
    <w:rsid w:val="00D8063F"/>
    <w:rsid w:val="00D809C2"/>
    <w:rsid w:val="00D80E5A"/>
    <w:rsid w:val="00D931AE"/>
    <w:rsid w:val="00D94BA0"/>
    <w:rsid w:val="00D94BD2"/>
    <w:rsid w:val="00D955DE"/>
    <w:rsid w:val="00DA1435"/>
    <w:rsid w:val="00DB2EB7"/>
    <w:rsid w:val="00DB597F"/>
    <w:rsid w:val="00DB6E0A"/>
    <w:rsid w:val="00DC5AC5"/>
    <w:rsid w:val="00DD0B40"/>
    <w:rsid w:val="00DD3366"/>
    <w:rsid w:val="00DF09AF"/>
    <w:rsid w:val="00DF0D58"/>
    <w:rsid w:val="00DF1FB9"/>
    <w:rsid w:val="00DF5500"/>
    <w:rsid w:val="00E047A9"/>
    <w:rsid w:val="00E1438C"/>
    <w:rsid w:val="00E15C92"/>
    <w:rsid w:val="00E16C0A"/>
    <w:rsid w:val="00E246BD"/>
    <w:rsid w:val="00E41744"/>
    <w:rsid w:val="00E61137"/>
    <w:rsid w:val="00E72103"/>
    <w:rsid w:val="00E7342E"/>
    <w:rsid w:val="00E843FF"/>
    <w:rsid w:val="00ED1B81"/>
    <w:rsid w:val="00ED75D5"/>
    <w:rsid w:val="00ED7C2A"/>
    <w:rsid w:val="00F00EED"/>
    <w:rsid w:val="00F01ED8"/>
    <w:rsid w:val="00F02A15"/>
    <w:rsid w:val="00F128F9"/>
    <w:rsid w:val="00F1522F"/>
    <w:rsid w:val="00F2227A"/>
    <w:rsid w:val="00F312A3"/>
    <w:rsid w:val="00F4111B"/>
    <w:rsid w:val="00F4240D"/>
    <w:rsid w:val="00F4532A"/>
    <w:rsid w:val="00F5154B"/>
    <w:rsid w:val="00F603C4"/>
    <w:rsid w:val="00F67C6A"/>
    <w:rsid w:val="00F82720"/>
    <w:rsid w:val="00F87414"/>
    <w:rsid w:val="00FA40F2"/>
    <w:rsid w:val="00FB52C8"/>
    <w:rsid w:val="00FB5E40"/>
    <w:rsid w:val="00FC3860"/>
    <w:rsid w:val="00FC6772"/>
    <w:rsid w:val="00FD2ECE"/>
    <w:rsid w:val="00FD70BD"/>
    <w:rsid w:val="00FE7162"/>
    <w:rsid w:val="27BC61AB"/>
    <w:rsid w:val="628F8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D010"/>
  <w15:chartTrackingRefBased/>
  <w15:docId w15:val="{A2D0CAA0-FD4F-42F4-AB81-3EF11DB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0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27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227A"/>
  </w:style>
  <w:style w:type="character" w:customStyle="1" w:styleId="eop">
    <w:name w:val="eop"/>
    <w:basedOn w:val="DefaultParagraphFont"/>
    <w:rsid w:val="00F2227A"/>
  </w:style>
  <w:style w:type="table" w:customStyle="1" w:styleId="TableGrid1">
    <w:name w:val="Table Grid1"/>
    <w:basedOn w:val="TableNormal"/>
    <w:next w:val="TableGrid"/>
    <w:uiPriority w:val="59"/>
    <w:rsid w:val="00A276C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D2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28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ellowcard.mhra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d6e53-d874-4d1c-8bdd-5a5e3ab7c2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D4F96ACE72B41BEDDA1D9C82539A9" ma:contentTypeVersion="9" ma:contentTypeDescription="Create a new document." ma:contentTypeScope="" ma:versionID="fa84328e98ec83e3dba41d500c3aeb42">
  <xsd:schema xmlns:xsd="http://www.w3.org/2001/XMLSchema" xmlns:xs="http://www.w3.org/2001/XMLSchema" xmlns:p="http://schemas.microsoft.com/office/2006/metadata/properties" xmlns:ns2="9dfd6e53-d874-4d1c-8bdd-5a5e3ab7c23f" xmlns:ns3="a3f222cd-6c85-4762-aff8-c49efe829c9a" targetNamespace="http://schemas.microsoft.com/office/2006/metadata/properties" ma:root="true" ma:fieldsID="36fbb0c3d3568c8fdb6b0918746cd059" ns2:_="" ns3:_="">
    <xsd:import namespace="9dfd6e53-d874-4d1c-8bdd-5a5e3ab7c23f"/>
    <xsd:import namespace="a3f222cd-6c85-4762-aff8-c49efe82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6e53-d874-4d1c-8bdd-5a5e3ab7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22cd-6c85-4762-aff8-c49efe82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B1399-61D0-430A-88CC-3B9416F32453}">
  <ds:schemaRefs>
    <ds:schemaRef ds:uri="http://schemas.microsoft.com/office/2006/metadata/properties"/>
    <ds:schemaRef ds:uri="http://schemas.microsoft.com/office/infopath/2007/PartnerControls"/>
    <ds:schemaRef ds:uri="9dfd6e53-d874-4d1c-8bdd-5a5e3ab7c23f"/>
  </ds:schemaRefs>
</ds:datastoreItem>
</file>

<file path=customXml/itemProps2.xml><?xml version="1.0" encoding="utf-8"?>
<ds:datastoreItem xmlns:ds="http://schemas.openxmlformats.org/officeDocument/2006/customXml" ds:itemID="{F5E9627E-D7D7-4F90-A9D3-7AE04BAA3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D9965-D819-49C2-9E8F-B095F9BB8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d6e53-d874-4d1c-8bdd-5a5e3ab7c23f"/>
    <ds:schemaRef ds:uri="a3f222cd-6c85-4762-aff8-c49efe82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Rayner-Wells</dc:creator>
  <cp:keywords/>
  <dc:description/>
  <cp:lastModifiedBy>Deborah Harding</cp:lastModifiedBy>
  <cp:revision>4</cp:revision>
  <dcterms:created xsi:type="dcterms:W3CDTF">2023-11-09T18:02:00Z</dcterms:created>
  <dcterms:modified xsi:type="dcterms:W3CDTF">2023-11-09T18:13:00Z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0x010100B62D4F96ACE72B41BEDDA1D9C82539A9</vt:lpwstr>
  </property>
  <property fmtid="{D5CDD505-2E9C-101B-9397-08002B2CF9AE}" pid="3" name="MediaServiceImageTags">
    <vt:lpwstr/>
  </property>
</Properties>
</file>