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CE81D" w14:textId="5F675930" w:rsidR="006E4A05" w:rsidRPr="00CC58F2" w:rsidRDefault="006E4A05" w:rsidP="006E4A05">
      <w:pPr>
        <w:spacing w:after="0" w:line="240" w:lineRule="auto"/>
        <w:jc w:val="center"/>
        <w:rPr>
          <w:rFonts w:ascii="Arial" w:eastAsia="Times New Roman" w:hAnsi="Arial" w:cs="Arial"/>
          <w:b/>
          <w:sz w:val="54"/>
          <w:szCs w:val="54"/>
        </w:rPr>
      </w:pPr>
      <w:bookmarkStart w:id="0" w:name="_Hlk28940711"/>
      <w:r w:rsidRPr="00CC58F2">
        <w:rPr>
          <w:rFonts w:ascii="Arial" w:eastAsia="Times New Roman" w:hAnsi="Arial" w:cs="Arial"/>
          <w:b/>
          <w:sz w:val="54"/>
          <w:szCs w:val="54"/>
        </w:rPr>
        <w:t>Schools Forum</w:t>
      </w:r>
    </w:p>
    <w:p w14:paraId="12A16D57" w14:textId="406BB5CC" w:rsidR="006E4A05" w:rsidRPr="00CC58F2" w:rsidRDefault="006E4A05" w:rsidP="006E4A0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0"/>
        </w:rPr>
      </w:pPr>
      <w:r w:rsidRPr="00CC58F2">
        <w:rPr>
          <w:rFonts w:ascii="Arial" w:eastAsia="Times New Roman" w:hAnsi="Arial" w:cs="Arial"/>
          <w:b/>
          <w:bCs/>
          <w:sz w:val="24"/>
          <w:szCs w:val="20"/>
        </w:rPr>
        <w:t xml:space="preserve">Item No. </w:t>
      </w:r>
    </w:p>
    <w:p w14:paraId="55EC5D0C" w14:textId="77777777" w:rsidR="006E4A05" w:rsidRPr="00CC58F2" w:rsidRDefault="006E4A05" w:rsidP="006E4A0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0"/>
        </w:rPr>
      </w:pPr>
    </w:p>
    <w:tbl>
      <w:tblPr>
        <w:tblStyle w:val="TableGrid"/>
        <w:tblW w:w="9356" w:type="dxa"/>
        <w:tblLook w:val="01E0" w:firstRow="1" w:lastRow="1" w:firstColumn="1" w:lastColumn="1" w:noHBand="0" w:noVBand="0"/>
      </w:tblPr>
      <w:tblGrid>
        <w:gridCol w:w="3101"/>
        <w:gridCol w:w="6255"/>
      </w:tblGrid>
      <w:tr w:rsidR="006E4A05" w:rsidRPr="00CC58F2" w14:paraId="491374DE" w14:textId="77777777" w:rsidTr="00056892">
        <w:tc>
          <w:tcPr>
            <w:tcW w:w="3101" w:type="dxa"/>
          </w:tcPr>
          <w:p w14:paraId="67BA8945" w14:textId="77777777" w:rsidR="006E4A05" w:rsidRPr="00CC58F2" w:rsidRDefault="006E4A05" w:rsidP="006E4A05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CC58F2">
              <w:rPr>
                <w:rFonts w:ascii="Arial" w:eastAsia="Times New Roman" w:hAnsi="Arial" w:cs="Arial"/>
                <w:b/>
                <w:sz w:val="28"/>
                <w:szCs w:val="28"/>
              </w:rPr>
              <w:t>Report title:</w:t>
            </w:r>
          </w:p>
        </w:tc>
        <w:tc>
          <w:tcPr>
            <w:tcW w:w="6255" w:type="dxa"/>
          </w:tcPr>
          <w:p w14:paraId="7A311C31" w14:textId="108FA3D8" w:rsidR="006E4A05" w:rsidRPr="00CC58F2" w:rsidRDefault="007D48D2" w:rsidP="006E4A05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Possible School </w:t>
            </w:r>
            <w:r w:rsidR="009741EB">
              <w:rPr>
                <w:rFonts w:ascii="Arial" w:eastAsia="Times New Roman" w:hAnsi="Arial" w:cs="Arial"/>
                <w:b/>
                <w:sz w:val="28"/>
                <w:szCs w:val="28"/>
              </w:rPr>
              <w:t>Closure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– APT Adjustment</w:t>
            </w:r>
          </w:p>
        </w:tc>
      </w:tr>
      <w:tr w:rsidR="006E4A05" w:rsidRPr="00CC58F2" w14:paraId="2F91B88E" w14:textId="77777777" w:rsidTr="00056892">
        <w:tc>
          <w:tcPr>
            <w:tcW w:w="3101" w:type="dxa"/>
          </w:tcPr>
          <w:p w14:paraId="0A77463D" w14:textId="77777777" w:rsidR="006E4A05" w:rsidRPr="00CC58F2" w:rsidRDefault="006E4A05" w:rsidP="006E4A05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CC58F2">
              <w:rPr>
                <w:rFonts w:ascii="Arial" w:eastAsia="Times New Roman" w:hAnsi="Arial" w:cs="Arial"/>
                <w:b/>
                <w:sz w:val="28"/>
                <w:szCs w:val="28"/>
              </w:rPr>
              <w:t>Date of meeting:</w:t>
            </w:r>
          </w:p>
        </w:tc>
        <w:tc>
          <w:tcPr>
            <w:tcW w:w="6255" w:type="dxa"/>
          </w:tcPr>
          <w:p w14:paraId="1CCE409E" w14:textId="65350B29" w:rsidR="006E4A05" w:rsidRPr="00CC58F2" w:rsidRDefault="00830383" w:rsidP="29BD127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19</w:t>
            </w:r>
            <w:r w:rsidR="25336ABA" w:rsidRPr="29BD127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BA69FB" w:rsidRPr="29BD127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January 202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</w:tr>
    </w:tbl>
    <w:p w14:paraId="0461DA2F" w14:textId="77777777" w:rsidR="006E4A05" w:rsidRPr="00CC58F2" w:rsidRDefault="006E4A05" w:rsidP="006E4A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FBF233" w14:textId="77777777" w:rsidR="006E4A05" w:rsidRPr="00CC58F2" w:rsidRDefault="006E4A05" w:rsidP="006E4A0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CC58F2">
        <w:rPr>
          <w:rFonts w:ascii="Arial" w:eastAsia="Times New Roman" w:hAnsi="Arial" w:cs="Arial"/>
          <w:b/>
          <w:sz w:val="28"/>
          <w:szCs w:val="28"/>
        </w:rPr>
        <w:t xml:space="preserve"> Executive summary</w:t>
      </w:r>
    </w:p>
    <w:tbl>
      <w:tblPr>
        <w:tblStyle w:val="TableGrid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6E4A05" w:rsidRPr="00CC58F2" w14:paraId="487C9E2D" w14:textId="77777777" w:rsidTr="00056892">
        <w:tc>
          <w:tcPr>
            <w:tcW w:w="9356" w:type="dxa"/>
          </w:tcPr>
          <w:p w14:paraId="1B0AE324" w14:textId="77777777" w:rsidR="006E4A05" w:rsidRDefault="009741EB" w:rsidP="00E95065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To give options for </w:t>
            </w:r>
            <w:r w:rsidR="00E20441">
              <w:rPr>
                <w:rFonts w:ascii="Arial" w:eastAsia="Times New Roman" w:hAnsi="Arial" w:cs="Arial"/>
                <w:b/>
                <w:sz w:val="24"/>
                <w:szCs w:val="20"/>
              </w:rPr>
              <w:t>the treatment of a possible school closure within the 2022/23 Authority Proforma Tool.</w:t>
            </w:r>
          </w:p>
          <w:p w14:paraId="4353C1A7" w14:textId="77777777" w:rsidR="002B1BAD" w:rsidRDefault="002B1BAD" w:rsidP="00E95065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14:paraId="3487600D" w14:textId="2F938AD7" w:rsidR="002B1BAD" w:rsidRPr="00DB7282" w:rsidRDefault="00DB7282" w:rsidP="00DB7282">
            <w:pPr>
              <w:rPr>
                <w:rFonts w:cs="Arial"/>
                <w:b/>
              </w:rPr>
            </w:pPr>
            <w:r w:rsidRPr="002B1BAD">
              <w:rPr>
                <w:rFonts w:ascii="Arial" w:hAnsi="Arial" w:cs="Arial"/>
                <w:b/>
                <w:sz w:val="24"/>
                <w:szCs w:val="24"/>
              </w:rPr>
              <w:t xml:space="preserve">Schools Forum are asked to make a recommendation </w:t>
            </w:r>
            <w:r w:rsidR="004E2BFF">
              <w:rPr>
                <w:rFonts w:ascii="Arial" w:hAnsi="Arial" w:cs="Arial"/>
                <w:b/>
                <w:sz w:val="24"/>
                <w:szCs w:val="24"/>
              </w:rPr>
              <w:t xml:space="preserve">from options that the </w:t>
            </w:r>
            <w:r w:rsidRPr="002B1BAD">
              <w:rPr>
                <w:rFonts w:ascii="Arial" w:hAnsi="Arial" w:cs="Arial"/>
                <w:b/>
                <w:sz w:val="24"/>
                <w:szCs w:val="24"/>
              </w:rPr>
              <w:t>LA</w:t>
            </w:r>
            <w:r w:rsidR="004E2BFF">
              <w:rPr>
                <w:rFonts w:ascii="Arial" w:hAnsi="Arial" w:cs="Arial"/>
                <w:b/>
                <w:sz w:val="24"/>
                <w:szCs w:val="24"/>
              </w:rPr>
              <w:t xml:space="preserve"> could</w:t>
            </w:r>
            <w:r w:rsidRPr="002B1BAD">
              <w:rPr>
                <w:rFonts w:ascii="Arial" w:hAnsi="Arial" w:cs="Arial"/>
                <w:b/>
                <w:sz w:val="24"/>
                <w:szCs w:val="24"/>
              </w:rPr>
              <w:t xml:space="preserve"> implement, including, if necessary (for option 2)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1BAD">
              <w:rPr>
                <w:rFonts w:ascii="Arial" w:hAnsi="Arial" w:cs="Arial"/>
                <w:b/>
                <w:sz w:val="24"/>
                <w:szCs w:val="24"/>
              </w:rPr>
              <w:t>Forum approval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(all members)</w:t>
            </w:r>
            <w:r w:rsidRPr="002B1BAD">
              <w:rPr>
                <w:rFonts w:ascii="Arial" w:hAnsi="Arial" w:cs="Arial"/>
                <w:b/>
                <w:sz w:val="24"/>
                <w:szCs w:val="24"/>
              </w:rPr>
              <w:t xml:space="preserve"> for an increase to the 2022/23 Growth Fund.</w:t>
            </w:r>
          </w:p>
        </w:tc>
      </w:tr>
    </w:tbl>
    <w:p w14:paraId="6FCCFAD0" w14:textId="77777777" w:rsidR="00560B7E" w:rsidRPr="00CC58F2" w:rsidRDefault="00560B7E" w:rsidP="00560B7E">
      <w:pPr>
        <w:rPr>
          <w:rFonts w:ascii="Arial" w:hAnsi="Arial" w:cs="Arial"/>
          <w:sz w:val="24"/>
          <w:szCs w:val="24"/>
        </w:rPr>
      </w:pPr>
    </w:p>
    <w:bookmarkEnd w:id="0"/>
    <w:p w14:paraId="30988B55" w14:textId="77777777" w:rsidR="00B24BEE" w:rsidRDefault="009741EB" w:rsidP="009741EB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9741EB">
        <w:rPr>
          <w:rFonts w:ascii="Arial" w:hAnsi="Arial" w:cs="Arial"/>
          <w:bCs/>
          <w:sz w:val="24"/>
          <w:szCs w:val="24"/>
        </w:rPr>
        <w:t>West Raynham Primary C of E Primary Academy is due to close with the final approval date being the 28</w:t>
      </w:r>
      <w:r w:rsidRPr="009741EB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9741EB">
        <w:rPr>
          <w:rFonts w:ascii="Arial" w:hAnsi="Arial" w:cs="Arial"/>
          <w:bCs/>
          <w:sz w:val="24"/>
          <w:szCs w:val="24"/>
        </w:rPr>
        <w:t xml:space="preserve"> February 2022.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14:paraId="613A4D33" w14:textId="77777777" w:rsidR="00B24BEE" w:rsidRDefault="009741EB" w:rsidP="009741EB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9741EB">
        <w:rPr>
          <w:rFonts w:ascii="Arial" w:hAnsi="Arial" w:cs="Arial"/>
          <w:bCs/>
          <w:sz w:val="24"/>
          <w:szCs w:val="24"/>
        </w:rPr>
        <w:t>The Authority Proforma Tool (APT) which drives the school budgets for 2022/23</w:t>
      </w:r>
      <w:r>
        <w:rPr>
          <w:rFonts w:ascii="Arial" w:hAnsi="Arial" w:cs="Arial"/>
          <w:bCs/>
          <w:sz w:val="24"/>
          <w:szCs w:val="24"/>
        </w:rPr>
        <w:t xml:space="preserve"> is due to be submitted on the 21</w:t>
      </w:r>
      <w:r w:rsidRPr="009741EB"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 xml:space="preserve"> January 2022. </w:t>
      </w:r>
    </w:p>
    <w:p w14:paraId="45402B1C" w14:textId="40799F5A" w:rsidR="009741EB" w:rsidRDefault="009741EB" w:rsidP="009741EB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Therefore, the decision </w:t>
      </w:r>
      <w:r w:rsidR="00B24BEE">
        <w:rPr>
          <w:rFonts w:ascii="Arial" w:hAnsi="Arial" w:cs="Arial"/>
          <w:bCs/>
          <w:sz w:val="24"/>
          <w:szCs w:val="24"/>
        </w:rPr>
        <w:t xml:space="preserve">on school closure </w:t>
      </w:r>
      <w:r>
        <w:rPr>
          <w:rFonts w:ascii="Arial" w:hAnsi="Arial" w:cs="Arial"/>
          <w:bCs/>
          <w:sz w:val="24"/>
          <w:szCs w:val="24"/>
        </w:rPr>
        <w:t>will not be made in time for the APT submission deadline.</w:t>
      </w:r>
      <w:r w:rsidR="00E73DAC">
        <w:rPr>
          <w:rFonts w:ascii="Arial" w:hAnsi="Arial" w:cs="Arial"/>
          <w:bCs/>
          <w:sz w:val="24"/>
          <w:szCs w:val="24"/>
        </w:rPr>
        <w:t xml:space="preserve">  </w:t>
      </w:r>
      <w:r w:rsidR="00855872">
        <w:rPr>
          <w:rFonts w:ascii="Arial" w:hAnsi="Arial" w:cs="Arial"/>
          <w:bCs/>
          <w:sz w:val="24"/>
          <w:szCs w:val="24"/>
        </w:rPr>
        <w:t>School</w:t>
      </w:r>
      <w:r w:rsidR="00E73DAC">
        <w:rPr>
          <w:rFonts w:ascii="Arial" w:hAnsi="Arial" w:cs="Arial"/>
          <w:bCs/>
          <w:sz w:val="24"/>
          <w:szCs w:val="24"/>
        </w:rPr>
        <w:t xml:space="preserve"> closure </w:t>
      </w:r>
      <w:r w:rsidR="00855872">
        <w:rPr>
          <w:rFonts w:ascii="Arial" w:hAnsi="Arial" w:cs="Arial"/>
          <w:bCs/>
          <w:sz w:val="24"/>
          <w:szCs w:val="24"/>
        </w:rPr>
        <w:t xml:space="preserve">is anticipated - </w:t>
      </w:r>
      <w:r w:rsidR="00E73DAC">
        <w:rPr>
          <w:rFonts w:ascii="Arial" w:hAnsi="Arial" w:cs="Arial"/>
          <w:bCs/>
          <w:sz w:val="24"/>
          <w:szCs w:val="24"/>
        </w:rPr>
        <w:t xml:space="preserve">there are currently no children attending the school but there is a risk, albeit small, that the school may not be closed and </w:t>
      </w:r>
      <w:r w:rsidR="00855872">
        <w:rPr>
          <w:rFonts w:ascii="Arial" w:hAnsi="Arial" w:cs="Arial"/>
          <w:bCs/>
          <w:sz w:val="24"/>
          <w:szCs w:val="24"/>
        </w:rPr>
        <w:t xml:space="preserve">in that case </w:t>
      </w:r>
      <w:r w:rsidR="00E73DAC">
        <w:rPr>
          <w:rFonts w:ascii="Arial" w:hAnsi="Arial" w:cs="Arial"/>
          <w:bCs/>
          <w:sz w:val="24"/>
          <w:szCs w:val="24"/>
        </w:rPr>
        <w:t>a budget is required</w:t>
      </w:r>
      <w:r w:rsidR="00855872">
        <w:rPr>
          <w:rFonts w:ascii="Arial" w:hAnsi="Arial" w:cs="Arial"/>
          <w:bCs/>
          <w:sz w:val="24"/>
          <w:szCs w:val="24"/>
        </w:rPr>
        <w:t xml:space="preserve"> to be submitted in the APT</w:t>
      </w:r>
      <w:r w:rsidR="00E73DAC">
        <w:rPr>
          <w:rFonts w:ascii="Arial" w:hAnsi="Arial" w:cs="Arial"/>
          <w:bCs/>
          <w:sz w:val="24"/>
          <w:szCs w:val="24"/>
        </w:rPr>
        <w:t>.</w:t>
      </w:r>
    </w:p>
    <w:p w14:paraId="0607256D" w14:textId="42AA46BF" w:rsidR="00E73DAC" w:rsidRDefault="00207768" w:rsidP="00E73DAC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Treatment of this school within the 2022/23 APT has been discussed with the Education </w:t>
      </w:r>
      <w:r w:rsidR="00A00B4D">
        <w:rPr>
          <w:rFonts w:ascii="Arial" w:hAnsi="Arial" w:cs="Arial"/>
          <w:bCs/>
          <w:sz w:val="24"/>
          <w:szCs w:val="24"/>
        </w:rPr>
        <w:t>&amp; Skills Funding Agency</w:t>
      </w:r>
      <w:r w:rsidR="00E73DAC">
        <w:rPr>
          <w:rFonts w:ascii="Arial" w:hAnsi="Arial" w:cs="Arial"/>
          <w:bCs/>
          <w:sz w:val="24"/>
          <w:szCs w:val="24"/>
        </w:rPr>
        <w:t xml:space="preserve">, </w:t>
      </w:r>
      <w:r w:rsidR="002F73DC">
        <w:rPr>
          <w:rFonts w:ascii="Arial" w:hAnsi="Arial" w:cs="Arial"/>
          <w:bCs/>
          <w:sz w:val="24"/>
          <w:szCs w:val="24"/>
        </w:rPr>
        <w:t xml:space="preserve">and </w:t>
      </w:r>
      <w:r w:rsidR="00E73DAC">
        <w:rPr>
          <w:rFonts w:ascii="Arial" w:hAnsi="Arial" w:cs="Arial"/>
          <w:bCs/>
          <w:sz w:val="24"/>
          <w:szCs w:val="24"/>
        </w:rPr>
        <w:t>the</w:t>
      </w:r>
      <w:r w:rsidR="001140BE">
        <w:rPr>
          <w:rFonts w:ascii="Arial" w:hAnsi="Arial" w:cs="Arial"/>
          <w:bCs/>
          <w:sz w:val="24"/>
          <w:szCs w:val="24"/>
        </w:rPr>
        <w:t xml:space="preserve"> </w:t>
      </w:r>
      <w:r w:rsidR="00E73DAC">
        <w:rPr>
          <w:rFonts w:ascii="Arial" w:hAnsi="Arial" w:cs="Arial"/>
          <w:bCs/>
          <w:sz w:val="24"/>
          <w:szCs w:val="24"/>
        </w:rPr>
        <w:t xml:space="preserve">options </w:t>
      </w:r>
      <w:r w:rsidR="002F73DC">
        <w:rPr>
          <w:rFonts w:ascii="Arial" w:hAnsi="Arial" w:cs="Arial"/>
          <w:bCs/>
          <w:sz w:val="24"/>
          <w:szCs w:val="24"/>
        </w:rPr>
        <w:t xml:space="preserve">they have </w:t>
      </w:r>
      <w:r w:rsidR="00E73DAC">
        <w:rPr>
          <w:rFonts w:ascii="Arial" w:hAnsi="Arial" w:cs="Arial"/>
          <w:bCs/>
          <w:sz w:val="24"/>
          <w:szCs w:val="24"/>
        </w:rPr>
        <w:t xml:space="preserve">given to mitigate the risk </w:t>
      </w:r>
      <w:r w:rsidR="002F73DC">
        <w:rPr>
          <w:rFonts w:ascii="Arial" w:hAnsi="Arial" w:cs="Arial"/>
          <w:bCs/>
          <w:sz w:val="24"/>
          <w:szCs w:val="24"/>
        </w:rPr>
        <w:t>are either</w:t>
      </w:r>
      <w:r w:rsidR="00E73DAC">
        <w:rPr>
          <w:rFonts w:ascii="Arial" w:hAnsi="Arial" w:cs="Arial"/>
          <w:bCs/>
          <w:sz w:val="24"/>
          <w:szCs w:val="24"/>
        </w:rPr>
        <w:t>:</w:t>
      </w:r>
      <w:r w:rsidR="0003015A">
        <w:rPr>
          <w:rFonts w:ascii="Arial" w:hAnsi="Arial" w:cs="Arial"/>
          <w:bCs/>
          <w:sz w:val="24"/>
          <w:szCs w:val="24"/>
        </w:rPr>
        <w:t xml:space="preserve"> </w:t>
      </w:r>
    </w:p>
    <w:p w14:paraId="68BCAFF7" w14:textId="09AFAE50" w:rsidR="009741EB" w:rsidRPr="00E73DAC" w:rsidRDefault="001140BE" w:rsidP="001140BE">
      <w:pPr>
        <w:pStyle w:val="ListParagraph"/>
        <w:numPr>
          <w:ilvl w:val="0"/>
          <w:numId w:val="0"/>
        </w:numPr>
        <w:spacing w:line="240" w:lineRule="auto"/>
        <w:rPr>
          <w:rFonts w:cs="Arial"/>
          <w:bCs/>
        </w:rPr>
      </w:pPr>
      <w:r w:rsidRPr="001140BE">
        <w:rPr>
          <w:rFonts w:cs="Arial"/>
          <w:b/>
        </w:rPr>
        <w:t>Option 1 -</w:t>
      </w:r>
      <w:r>
        <w:rPr>
          <w:rFonts w:cs="Arial"/>
          <w:bCs/>
        </w:rPr>
        <w:t xml:space="preserve"> </w:t>
      </w:r>
      <w:r w:rsidR="002F73DC">
        <w:rPr>
          <w:rFonts w:cs="Arial"/>
          <w:bCs/>
        </w:rPr>
        <w:t>E</w:t>
      </w:r>
      <w:r w:rsidR="009741EB" w:rsidRPr="00E73DAC">
        <w:rPr>
          <w:rFonts w:cs="Arial"/>
          <w:bCs/>
        </w:rPr>
        <w:t>nter the school in</w:t>
      </w:r>
      <w:r w:rsidR="002F73DC">
        <w:rPr>
          <w:rFonts w:cs="Arial"/>
          <w:bCs/>
        </w:rPr>
        <w:t>to</w:t>
      </w:r>
      <w:r w:rsidR="009741EB" w:rsidRPr="00E73DAC">
        <w:rPr>
          <w:rFonts w:cs="Arial"/>
          <w:bCs/>
        </w:rPr>
        <w:t xml:space="preserve"> the APT which would generate the lump sum figure of £121,300 </w:t>
      </w:r>
      <w:r w:rsidR="00DA2396">
        <w:rPr>
          <w:rFonts w:cs="Arial"/>
          <w:bCs/>
        </w:rPr>
        <w:t xml:space="preserve">for the school </w:t>
      </w:r>
      <w:r w:rsidR="009741EB" w:rsidRPr="00E73DAC">
        <w:rPr>
          <w:rFonts w:cs="Arial"/>
          <w:bCs/>
        </w:rPr>
        <w:t>(as there are no pupils attending)</w:t>
      </w:r>
      <w:r w:rsidR="008677A3">
        <w:rPr>
          <w:rFonts w:cs="Arial"/>
          <w:bCs/>
        </w:rPr>
        <w:t>.  If the school remains open, the ESFA will recoup this funding from the ESFA in the usual</w:t>
      </w:r>
      <w:r>
        <w:rPr>
          <w:rFonts w:cs="Arial"/>
          <w:bCs/>
        </w:rPr>
        <w:t xml:space="preserve"> way</w:t>
      </w:r>
      <w:r w:rsidR="008677A3">
        <w:rPr>
          <w:rFonts w:cs="Arial"/>
          <w:bCs/>
        </w:rPr>
        <w:t xml:space="preserve"> for academies.  </w:t>
      </w:r>
      <w:r>
        <w:rPr>
          <w:rFonts w:cs="Arial"/>
          <w:bCs/>
        </w:rPr>
        <w:t>However, i</w:t>
      </w:r>
      <w:r w:rsidR="008677A3">
        <w:rPr>
          <w:rFonts w:cs="Arial"/>
          <w:bCs/>
        </w:rPr>
        <w:t xml:space="preserve">f </w:t>
      </w:r>
      <w:r w:rsidR="009741EB" w:rsidRPr="00E73DAC">
        <w:rPr>
          <w:rFonts w:cs="Arial"/>
          <w:bCs/>
        </w:rPr>
        <w:t xml:space="preserve">the school </w:t>
      </w:r>
      <w:r>
        <w:rPr>
          <w:rFonts w:cs="Arial"/>
        </w:rPr>
        <w:t>closes</w:t>
      </w:r>
      <w:r w:rsidR="009741EB" w:rsidRPr="00E73DAC">
        <w:rPr>
          <w:rFonts w:cs="Arial"/>
          <w:bCs/>
        </w:rPr>
        <w:t xml:space="preserve">, the ESFA </w:t>
      </w:r>
      <w:r>
        <w:rPr>
          <w:rFonts w:cs="Arial"/>
          <w:bCs/>
        </w:rPr>
        <w:t>have said that the</w:t>
      </w:r>
      <w:r w:rsidR="00DA2396">
        <w:rPr>
          <w:rFonts w:cs="Arial"/>
          <w:bCs/>
        </w:rPr>
        <w:t>y</w:t>
      </w:r>
      <w:r>
        <w:rPr>
          <w:rFonts w:cs="Arial"/>
          <w:bCs/>
        </w:rPr>
        <w:t xml:space="preserve"> </w:t>
      </w:r>
      <w:r w:rsidR="009741EB" w:rsidRPr="00E73DAC">
        <w:rPr>
          <w:rFonts w:cs="Arial"/>
          <w:bCs/>
        </w:rPr>
        <w:t xml:space="preserve">will </w:t>
      </w:r>
      <w:r>
        <w:rPr>
          <w:rFonts w:cs="Arial"/>
          <w:bCs/>
        </w:rPr>
        <w:t xml:space="preserve">still </w:t>
      </w:r>
      <w:r w:rsidR="009741EB" w:rsidRPr="00E73DAC">
        <w:rPr>
          <w:rFonts w:cs="Arial"/>
          <w:bCs/>
        </w:rPr>
        <w:t>recoup this funding from the Local Authority</w:t>
      </w:r>
      <w:r>
        <w:rPr>
          <w:rFonts w:cs="Arial"/>
          <w:bCs/>
        </w:rPr>
        <w:t xml:space="preserve"> as it has been given as part of the DSG allocation for 2022/23</w:t>
      </w:r>
      <w:r w:rsidR="00DA2396">
        <w:rPr>
          <w:rFonts w:cs="Arial"/>
          <w:bCs/>
        </w:rPr>
        <w:t xml:space="preserve"> and it would be on the ‘Recoupment’ tab of the APT.</w:t>
      </w:r>
    </w:p>
    <w:p w14:paraId="79FA3FD0" w14:textId="77777777" w:rsidR="00A60501" w:rsidRPr="009741EB" w:rsidRDefault="00A60501" w:rsidP="001140BE">
      <w:pPr>
        <w:pStyle w:val="ListParagraph"/>
        <w:numPr>
          <w:ilvl w:val="0"/>
          <w:numId w:val="0"/>
        </w:numPr>
        <w:spacing w:line="240" w:lineRule="auto"/>
        <w:rPr>
          <w:rFonts w:cs="Arial"/>
          <w:bCs/>
        </w:rPr>
      </w:pPr>
    </w:p>
    <w:p w14:paraId="6EBA4FAC" w14:textId="09A8A8C8" w:rsidR="009741EB" w:rsidRDefault="001140BE" w:rsidP="001140BE">
      <w:pPr>
        <w:pStyle w:val="ListParagraph"/>
        <w:numPr>
          <w:ilvl w:val="0"/>
          <w:numId w:val="0"/>
        </w:numPr>
        <w:spacing w:line="240" w:lineRule="auto"/>
        <w:rPr>
          <w:rFonts w:cs="Arial"/>
          <w:bCs/>
        </w:rPr>
      </w:pPr>
      <w:r w:rsidRPr="001140BE">
        <w:rPr>
          <w:rFonts w:cs="Arial"/>
          <w:b/>
        </w:rPr>
        <w:t>Option 2-</w:t>
      </w:r>
      <w:r>
        <w:rPr>
          <w:rFonts w:cs="Arial"/>
          <w:bCs/>
        </w:rPr>
        <w:t xml:space="preserve"> </w:t>
      </w:r>
      <w:r w:rsidR="00BF3126">
        <w:rPr>
          <w:rFonts w:cs="Arial"/>
          <w:bCs/>
        </w:rPr>
        <w:t>I</w:t>
      </w:r>
      <w:r w:rsidR="009741EB" w:rsidRPr="009741EB">
        <w:rPr>
          <w:rFonts w:cs="Arial"/>
          <w:bCs/>
        </w:rPr>
        <w:t xml:space="preserve">ncrease either the Falling Rolls Fund, </w:t>
      </w:r>
      <w:r w:rsidR="00391FD0">
        <w:rPr>
          <w:rFonts w:cs="Arial"/>
          <w:bCs/>
        </w:rPr>
        <w:t>not used in Norfolk</w:t>
      </w:r>
      <w:r w:rsidR="009741EB" w:rsidRPr="009741EB">
        <w:rPr>
          <w:rFonts w:cs="Arial"/>
          <w:bCs/>
        </w:rPr>
        <w:t xml:space="preserve">, or the </w:t>
      </w:r>
      <w:r w:rsidR="00A60501">
        <w:rPr>
          <w:rFonts w:cs="Arial"/>
          <w:bCs/>
        </w:rPr>
        <w:t>G</w:t>
      </w:r>
      <w:r w:rsidR="009741EB" w:rsidRPr="009741EB">
        <w:rPr>
          <w:rFonts w:cs="Arial"/>
          <w:bCs/>
        </w:rPr>
        <w:t xml:space="preserve">rowth </w:t>
      </w:r>
      <w:r w:rsidR="00A60501">
        <w:rPr>
          <w:rFonts w:cs="Arial"/>
          <w:bCs/>
        </w:rPr>
        <w:t>F</w:t>
      </w:r>
      <w:r w:rsidR="009741EB" w:rsidRPr="009741EB">
        <w:rPr>
          <w:rFonts w:cs="Arial"/>
          <w:bCs/>
        </w:rPr>
        <w:t xml:space="preserve">und </w:t>
      </w:r>
      <w:r w:rsidR="00961C91">
        <w:rPr>
          <w:rFonts w:cs="Arial"/>
          <w:bCs/>
        </w:rPr>
        <w:t>to create</w:t>
      </w:r>
      <w:r w:rsidR="009741EB" w:rsidRPr="009741EB">
        <w:rPr>
          <w:rFonts w:cs="Arial"/>
          <w:bCs/>
        </w:rPr>
        <w:t xml:space="preserve"> a contingency amount to ensure the risk is covered</w:t>
      </w:r>
      <w:r w:rsidR="00BF3126">
        <w:rPr>
          <w:rFonts w:cs="Arial"/>
          <w:bCs/>
        </w:rPr>
        <w:t xml:space="preserve"> should the school remain open</w:t>
      </w:r>
      <w:r w:rsidR="009741EB" w:rsidRPr="009741EB">
        <w:rPr>
          <w:rFonts w:cs="Arial"/>
          <w:bCs/>
        </w:rPr>
        <w:t>.  This option will not involve any recoupment from the ESFA</w:t>
      </w:r>
      <w:r w:rsidR="00BF3126">
        <w:rPr>
          <w:rFonts w:cs="Arial"/>
          <w:bCs/>
        </w:rPr>
        <w:t xml:space="preserve"> and therefore if the school does close no funding will be </w:t>
      </w:r>
      <w:r w:rsidR="00367209">
        <w:rPr>
          <w:rFonts w:cs="Arial"/>
          <w:bCs/>
        </w:rPr>
        <w:t>removed from the 2022/23 DSG allocation</w:t>
      </w:r>
      <w:r w:rsidR="009741EB" w:rsidRPr="009741EB">
        <w:rPr>
          <w:rFonts w:cs="Arial"/>
          <w:bCs/>
        </w:rPr>
        <w:t>.</w:t>
      </w:r>
      <w:r w:rsidR="00A60501">
        <w:rPr>
          <w:rFonts w:cs="Arial"/>
          <w:bCs/>
        </w:rPr>
        <w:t xml:space="preserve">  </w:t>
      </w:r>
      <w:r w:rsidR="00367209">
        <w:rPr>
          <w:rFonts w:cs="Arial"/>
          <w:bCs/>
        </w:rPr>
        <w:t>The amount</w:t>
      </w:r>
      <w:r w:rsidR="00A60501">
        <w:rPr>
          <w:rFonts w:cs="Arial"/>
          <w:bCs/>
        </w:rPr>
        <w:t xml:space="preserve"> suggested </w:t>
      </w:r>
      <w:r w:rsidR="00367209">
        <w:rPr>
          <w:rFonts w:cs="Arial"/>
          <w:bCs/>
        </w:rPr>
        <w:t>is</w:t>
      </w:r>
      <w:r w:rsidR="00A60501">
        <w:rPr>
          <w:rFonts w:cs="Arial"/>
          <w:bCs/>
        </w:rPr>
        <w:t xml:space="preserve"> the lump sum amount for 2022</w:t>
      </w:r>
      <w:r w:rsidR="00E02847">
        <w:rPr>
          <w:rFonts w:cs="Arial"/>
          <w:bCs/>
        </w:rPr>
        <w:t>/</w:t>
      </w:r>
      <w:r w:rsidR="00A60501">
        <w:rPr>
          <w:rFonts w:cs="Arial"/>
          <w:bCs/>
        </w:rPr>
        <w:t>23 of £121,300</w:t>
      </w:r>
      <w:r w:rsidR="00561BC5">
        <w:rPr>
          <w:rFonts w:cs="Arial"/>
          <w:bCs/>
        </w:rPr>
        <w:t xml:space="preserve"> as that is the budget that the school would need if it stayed open with no pupils</w:t>
      </w:r>
      <w:r w:rsidR="00C77697">
        <w:rPr>
          <w:rFonts w:cs="Arial"/>
          <w:bCs/>
        </w:rPr>
        <w:t xml:space="preserve"> (increasing the agreed growth fund from £500,000 to £621,300).</w:t>
      </w:r>
      <w:r w:rsidR="00297FCA">
        <w:rPr>
          <w:rFonts w:cs="Arial"/>
          <w:bCs/>
        </w:rPr>
        <w:t xml:space="preserve">  </w:t>
      </w:r>
      <w:r w:rsidR="00297FCA" w:rsidRPr="00297FCA">
        <w:rPr>
          <w:rFonts w:cs="Arial"/>
          <w:b/>
        </w:rPr>
        <w:t xml:space="preserve">Full Schools Forum approval is required for </w:t>
      </w:r>
      <w:r w:rsidR="00297FCA">
        <w:rPr>
          <w:rFonts w:cs="Arial"/>
          <w:b/>
        </w:rPr>
        <w:t xml:space="preserve">implementation of </w:t>
      </w:r>
      <w:r w:rsidR="00297FCA" w:rsidRPr="00297FCA">
        <w:rPr>
          <w:rFonts w:cs="Arial"/>
          <w:b/>
        </w:rPr>
        <w:t>this option (all members may vote)</w:t>
      </w:r>
      <w:r w:rsidR="00297FCA">
        <w:rPr>
          <w:rFonts w:cs="Arial"/>
          <w:b/>
        </w:rPr>
        <w:t>.</w:t>
      </w:r>
    </w:p>
    <w:p w14:paraId="0D1263EC" w14:textId="3FD9362C" w:rsidR="00A60501" w:rsidRDefault="002713FF" w:rsidP="00A60501">
      <w:pPr>
        <w:rPr>
          <w:rFonts w:ascii="Arial" w:hAnsi="Arial" w:cs="Arial"/>
          <w:bCs/>
          <w:sz w:val="24"/>
          <w:szCs w:val="24"/>
        </w:rPr>
      </w:pPr>
      <w:r w:rsidRPr="002713FF">
        <w:rPr>
          <w:rFonts w:ascii="Arial" w:hAnsi="Arial" w:cs="Arial"/>
          <w:b/>
          <w:sz w:val="24"/>
          <w:szCs w:val="24"/>
        </w:rPr>
        <w:t>Option 3 -</w:t>
      </w:r>
      <w:r w:rsidR="00A6050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</w:t>
      </w:r>
      <w:r w:rsidR="00A60501">
        <w:rPr>
          <w:rFonts w:ascii="Arial" w:hAnsi="Arial" w:cs="Arial"/>
          <w:bCs/>
          <w:sz w:val="24"/>
          <w:szCs w:val="24"/>
        </w:rPr>
        <w:t>xclude West Raynham from the APT</w:t>
      </w:r>
      <w:r w:rsidR="00FE1EFA">
        <w:rPr>
          <w:rFonts w:ascii="Arial" w:hAnsi="Arial" w:cs="Arial"/>
          <w:bCs/>
          <w:sz w:val="24"/>
          <w:szCs w:val="24"/>
        </w:rPr>
        <w:t xml:space="preserve"> altogether (including no increase to growth fund as a contingency for it opening)</w:t>
      </w:r>
      <w:r w:rsidR="00A60501">
        <w:rPr>
          <w:rFonts w:ascii="Arial" w:hAnsi="Arial" w:cs="Arial"/>
          <w:bCs/>
          <w:sz w:val="24"/>
          <w:szCs w:val="24"/>
        </w:rPr>
        <w:t xml:space="preserve"> leaving a </w:t>
      </w:r>
      <w:r w:rsidR="00FE1EFA">
        <w:rPr>
          <w:rFonts w:ascii="Arial" w:hAnsi="Arial" w:cs="Arial"/>
          <w:bCs/>
          <w:sz w:val="24"/>
          <w:szCs w:val="24"/>
        </w:rPr>
        <w:t xml:space="preserve">small </w:t>
      </w:r>
      <w:r w:rsidR="00A60501">
        <w:rPr>
          <w:rFonts w:ascii="Arial" w:hAnsi="Arial" w:cs="Arial"/>
          <w:bCs/>
          <w:sz w:val="24"/>
          <w:szCs w:val="24"/>
        </w:rPr>
        <w:t xml:space="preserve">risk should the school </w:t>
      </w:r>
      <w:r w:rsidR="00A60501">
        <w:rPr>
          <w:rFonts w:ascii="Arial" w:hAnsi="Arial" w:cs="Arial"/>
          <w:bCs/>
          <w:sz w:val="24"/>
          <w:szCs w:val="24"/>
        </w:rPr>
        <w:lastRenderedPageBreak/>
        <w:t>not be given approval to close.</w:t>
      </w:r>
      <w:r w:rsidR="00FE1EFA">
        <w:rPr>
          <w:rFonts w:ascii="Arial" w:hAnsi="Arial" w:cs="Arial"/>
          <w:bCs/>
          <w:sz w:val="24"/>
          <w:szCs w:val="24"/>
        </w:rPr>
        <w:t xml:space="preserve">  </w:t>
      </w:r>
      <w:r w:rsidR="00297FCA">
        <w:rPr>
          <w:rFonts w:ascii="Arial" w:hAnsi="Arial" w:cs="Arial"/>
          <w:bCs/>
          <w:sz w:val="24"/>
          <w:szCs w:val="24"/>
        </w:rPr>
        <w:t xml:space="preserve">If the school remains open and requires a budget, it will create </w:t>
      </w:r>
      <w:r w:rsidR="00FE1EFA">
        <w:rPr>
          <w:rFonts w:ascii="Arial" w:hAnsi="Arial" w:cs="Arial"/>
          <w:bCs/>
          <w:sz w:val="24"/>
          <w:szCs w:val="24"/>
        </w:rPr>
        <w:t>an overspend on the Schools Block for 2022/23.</w:t>
      </w:r>
    </w:p>
    <w:p w14:paraId="16BC2260" w14:textId="1348E191" w:rsidR="00A60501" w:rsidRPr="002B1BAD" w:rsidRDefault="00A60501" w:rsidP="000C31ED">
      <w:pPr>
        <w:rPr>
          <w:rFonts w:cs="Arial"/>
          <w:b/>
        </w:rPr>
      </w:pPr>
      <w:r w:rsidRPr="002B1BAD">
        <w:rPr>
          <w:rFonts w:ascii="Arial" w:hAnsi="Arial" w:cs="Arial"/>
          <w:b/>
          <w:sz w:val="24"/>
          <w:szCs w:val="24"/>
        </w:rPr>
        <w:t xml:space="preserve">Schools Forum are asked to make </w:t>
      </w:r>
      <w:r w:rsidR="00C77697" w:rsidRPr="002B1BAD">
        <w:rPr>
          <w:rFonts w:ascii="Arial" w:hAnsi="Arial" w:cs="Arial"/>
          <w:b/>
          <w:sz w:val="24"/>
          <w:szCs w:val="24"/>
        </w:rPr>
        <w:t xml:space="preserve">a recommendation of which </w:t>
      </w:r>
      <w:r w:rsidR="000C31ED" w:rsidRPr="002B1BAD">
        <w:rPr>
          <w:rFonts w:ascii="Arial" w:hAnsi="Arial" w:cs="Arial"/>
          <w:b/>
          <w:sz w:val="24"/>
          <w:szCs w:val="24"/>
        </w:rPr>
        <w:t>of the above options the LA should implement</w:t>
      </w:r>
      <w:r w:rsidR="002B1BAD" w:rsidRPr="002B1BAD">
        <w:rPr>
          <w:rFonts w:ascii="Arial" w:hAnsi="Arial" w:cs="Arial"/>
          <w:b/>
          <w:sz w:val="24"/>
          <w:szCs w:val="24"/>
        </w:rPr>
        <w:t>, including, if necessary (for option 2)</w:t>
      </w:r>
      <w:r w:rsidR="00DB7282">
        <w:rPr>
          <w:rFonts w:ascii="Arial" w:hAnsi="Arial" w:cs="Arial"/>
          <w:b/>
          <w:sz w:val="24"/>
          <w:szCs w:val="24"/>
        </w:rPr>
        <w:t xml:space="preserve"> </w:t>
      </w:r>
      <w:r w:rsidR="002B1BAD" w:rsidRPr="002B1BAD">
        <w:rPr>
          <w:rFonts w:ascii="Arial" w:hAnsi="Arial" w:cs="Arial"/>
          <w:b/>
          <w:sz w:val="24"/>
          <w:szCs w:val="24"/>
        </w:rPr>
        <w:t>Forum approval</w:t>
      </w:r>
      <w:r w:rsidR="00DB7282">
        <w:rPr>
          <w:rFonts w:ascii="Arial" w:hAnsi="Arial" w:cs="Arial"/>
          <w:b/>
          <w:sz w:val="24"/>
          <w:szCs w:val="24"/>
        </w:rPr>
        <w:t xml:space="preserve"> (all members)</w:t>
      </w:r>
      <w:r w:rsidR="002B1BAD" w:rsidRPr="002B1BAD">
        <w:rPr>
          <w:rFonts w:ascii="Arial" w:hAnsi="Arial" w:cs="Arial"/>
          <w:b/>
          <w:sz w:val="24"/>
          <w:szCs w:val="24"/>
        </w:rPr>
        <w:t xml:space="preserve"> for an increase to the 2022/23 Growth Fund.</w:t>
      </w:r>
    </w:p>
    <w:p w14:paraId="70B4A214" w14:textId="5E8E6201" w:rsidR="009741EB" w:rsidRPr="009741EB" w:rsidRDefault="009741EB" w:rsidP="009741EB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sectPr w:rsidR="009741EB" w:rsidRPr="00974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46746" w14:textId="77777777" w:rsidR="009A352F" w:rsidRDefault="009A352F" w:rsidP="0052052E">
      <w:pPr>
        <w:spacing w:after="0" w:line="240" w:lineRule="auto"/>
      </w:pPr>
      <w:r>
        <w:separator/>
      </w:r>
    </w:p>
  </w:endnote>
  <w:endnote w:type="continuationSeparator" w:id="0">
    <w:p w14:paraId="05C0DBB4" w14:textId="77777777" w:rsidR="009A352F" w:rsidRDefault="009A352F" w:rsidP="0052052E">
      <w:pPr>
        <w:spacing w:after="0" w:line="240" w:lineRule="auto"/>
      </w:pPr>
      <w:r>
        <w:continuationSeparator/>
      </w:r>
    </w:p>
  </w:endnote>
  <w:endnote w:type="continuationNotice" w:id="1">
    <w:p w14:paraId="259F77D1" w14:textId="77777777" w:rsidR="009A352F" w:rsidRDefault="009A35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EA0D7" w14:textId="77777777" w:rsidR="009A352F" w:rsidRDefault="009A352F" w:rsidP="0052052E">
      <w:pPr>
        <w:spacing w:after="0" w:line="240" w:lineRule="auto"/>
      </w:pPr>
      <w:r>
        <w:separator/>
      </w:r>
    </w:p>
  </w:footnote>
  <w:footnote w:type="continuationSeparator" w:id="0">
    <w:p w14:paraId="7199F72A" w14:textId="77777777" w:rsidR="009A352F" w:rsidRDefault="009A352F" w:rsidP="0052052E">
      <w:pPr>
        <w:spacing w:after="0" w:line="240" w:lineRule="auto"/>
      </w:pPr>
      <w:r>
        <w:continuationSeparator/>
      </w:r>
    </w:p>
  </w:footnote>
  <w:footnote w:type="continuationNotice" w:id="1">
    <w:p w14:paraId="702560CA" w14:textId="77777777" w:rsidR="009A352F" w:rsidRDefault="009A35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B14406"/>
    <w:multiLevelType w:val="hybridMultilevel"/>
    <w:tmpl w:val="C4A582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EDD93DD"/>
    <w:multiLevelType w:val="hybridMultilevel"/>
    <w:tmpl w:val="C69205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3F5F3AB"/>
    <w:multiLevelType w:val="hybridMultilevel"/>
    <w:tmpl w:val="9E14BA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8F96A34"/>
    <w:multiLevelType w:val="hybridMultilevel"/>
    <w:tmpl w:val="E5F7D3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A79EA69"/>
    <w:multiLevelType w:val="hybridMultilevel"/>
    <w:tmpl w:val="6331F4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C367BE2"/>
    <w:multiLevelType w:val="hybridMultilevel"/>
    <w:tmpl w:val="51A44FAC"/>
    <w:lvl w:ilvl="0" w:tplc="FFFFFFFF">
      <w:start w:val="1"/>
      <w:numFmt w:val="bullet"/>
      <w:lvlText w:val="•"/>
      <w:lvlJc w:val="left"/>
    </w:lvl>
    <w:lvl w:ilvl="1" w:tplc="08090005">
      <w:start w:val="1"/>
      <w:numFmt w:val="bullet"/>
      <w:lvlText w:val=""/>
      <w:lvlJc w:val="left"/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8A7723A"/>
    <w:multiLevelType w:val="hybridMultilevel"/>
    <w:tmpl w:val="CF0E4C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9BEEF46"/>
    <w:multiLevelType w:val="hybridMultilevel"/>
    <w:tmpl w:val="118CEC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ADD4077"/>
    <w:multiLevelType w:val="hybridMultilevel"/>
    <w:tmpl w:val="E2A701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2C436EF"/>
    <w:multiLevelType w:val="hybridMultilevel"/>
    <w:tmpl w:val="80C8E67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8D34955"/>
    <w:multiLevelType w:val="hybridMultilevel"/>
    <w:tmpl w:val="1C5A2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4B940"/>
    <w:multiLevelType w:val="hybridMultilevel"/>
    <w:tmpl w:val="FA07EB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75256DD"/>
    <w:multiLevelType w:val="hybridMultilevel"/>
    <w:tmpl w:val="5CCC8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24053"/>
    <w:multiLevelType w:val="hybridMultilevel"/>
    <w:tmpl w:val="FDCAD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972A4"/>
    <w:multiLevelType w:val="hybridMultilevel"/>
    <w:tmpl w:val="C1B2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2A465"/>
    <w:multiLevelType w:val="hybridMultilevel"/>
    <w:tmpl w:val="8C0816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3CD199A"/>
    <w:multiLevelType w:val="hybridMultilevel"/>
    <w:tmpl w:val="9B9E8EE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5F430DA"/>
    <w:multiLevelType w:val="hybridMultilevel"/>
    <w:tmpl w:val="AE604380"/>
    <w:lvl w:ilvl="0" w:tplc="FFFFFFFF">
      <w:start w:val="1"/>
      <w:numFmt w:val="bullet"/>
      <w:lvlText w:val="•"/>
      <w:lvlJc w:val="left"/>
    </w:lvl>
    <w:lvl w:ilvl="1" w:tplc="08090005">
      <w:start w:val="1"/>
      <w:numFmt w:val="bullet"/>
      <w:lvlText w:val=""/>
      <w:lvlJc w:val="left"/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D4155F4"/>
    <w:multiLevelType w:val="hybridMultilevel"/>
    <w:tmpl w:val="73BA4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403E2"/>
    <w:multiLevelType w:val="hybridMultilevel"/>
    <w:tmpl w:val="0A06D90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024701"/>
    <w:multiLevelType w:val="hybridMultilevel"/>
    <w:tmpl w:val="87682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E1C25"/>
    <w:multiLevelType w:val="hybridMultilevel"/>
    <w:tmpl w:val="ADB47C2C"/>
    <w:lvl w:ilvl="0" w:tplc="260E64C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A4637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A27B5"/>
    <w:multiLevelType w:val="hybridMultilevel"/>
    <w:tmpl w:val="2A207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B7EC0"/>
    <w:multiLevelType w:val="hybridMultilevel"/>
    <w:tmpl w:val="AEEBD4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5804FFC"/>
    <w:multiLevelType w:val="hybridMultilevel"/>
    <w:tmpl w:val="65BD75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A4B716A"/>
    <w:multiLevelType w:val="hybridMultilevel"/>
    <w:tmpl w:val="A314AE88"/>
    <w:lvl w:ilvl="0" w:tplc="9E5CA7E2">
      <w:start w:val="1"/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EEA3505"/>
    <w:multiLevelType w:val="hybridMultilevel"/>
    <w:tmpl w:val="BB9CC0A6"/>
    <w:lvl w:ilvl="0" w:tplc="363CF1F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C47CE"/>
    <w:multiLevelType w:val="hybridMultilevel"/>
    <w:tmpl w:val="B950D87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646A92"/>
    <w:multiLevelType w:val="hybridMultilevel"/>
    <w:tmpl w:val="86AC1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25F3A"/>
    <w:multiLevelType w:val="hybridMultilevel"/>
    <w:tmpl w:val="02C8E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C72AB"/>
    <w:multiLevelType w:val="hybridMultilevel"/>
    <w:tmpl w:val="A3125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A1E7B"/>
    <w:multiLevelType w:val="hybridMultilevel"/>
    <w:tmpl w:val="F58EE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B22D0"/>
    <w:multiLevelType w:val="hybridMultilevel"/>
    <w:tmpl w:val="69904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31441"/>
    <w:multiLevelType w:val="hybridMultilevel"/>
    <w:tmpl w:val="57C81AE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9132F6D"/>
    <w:multiLevelType w:val="hybridMultilevel"/>
    <w:tmpl w:val="646A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2FFFB"/>
    <w:multiLevelType w:val="hybridMultilevel"/>
    <w:tmpl w:val="15E6DD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F3A0C39"/>
    <w:multiLevelType w:val="hybridMultilevel"/>
    <w:tmpl w:val="C4179A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7"/>
  </w:num>
  <w:num w:numId="2">
    <w:abstractNumId w:val="9"/>
  </w:num>
  <w:num w:numId="3">
    <w:abstractNumId w:val="33"/>
  </w:num>
  <w:num w:numId="4">
    <w:abstractNumId w:val="16"/>
  </w:num>
  <w:num w:numId="5">
    <w:abstractNumId w:val="19"/>
  </w:num>
  <w:num w:numId="6">
    <w:abstractNumId w:val="21"/>
  </w:num>
  <w:num w:numId="7">
    <w:abstractNumId w:val="18"/>
  </w:num>
  <w:num w:numId="8">
    <w:abstractNumId w:val="20"/>
  </w:num>
  <w:num w:numId="9">
    <w:abstractNumId w:val="22"/>
  </w:num>
  <w:num w:numId="10">
    <w:abstractNumId w:val="26"/>
  </w:num>
  <w:num w:numId="11">
    <w:abstractNumId w:val="25"/>
  </w:num>
  <w:num w:numId="12">
    <w:abstractNumId w:val="32"/>
  </w:num>
  <w:num w:numId="13">
    <w:abstractNumId w:val="14"/>
  </w:num>
  <w:num w:numId="14">
    <w:abstractNumId w:val="31"/>
  </w:num>
  <w:num w:numId="15">
    <w:abstractNumId w:val="4"/>
  </w:num>
  <w:num w:numId="16">
    <w:abstractNumId w:val="7"/>
  </w:num>
  <w:num w:numId="17">
    <w:abstractNumId w:val="2"/>
  </w:num>
  <w:num w:numId="18">
    <w:abstractNumId w:val="11"/>
  </w:num>
  <w:num w:numId="19">
    <w:abstractNumId w:val="23"/>
  </w:num>
  <w:num w:numId="20">
    <w:abstractNumId w:val="0"/>
  </w:num>
  <w:num w:numId="21">
    <w:abstractNumId w:val="6"/>
  </w:num>
  <w:num w:numId="22">
    <w:abstractNumId w:val="15"/>
  </w:num>
  <w:num w:numId="23">
    <w:abstractNumId w:val="24"/>
  </w:num>
  <w:num w:numId="24">
    <w:abstractNumId w:val="5"/>
  </w:num>
  <w:num w:numId="25">
    <w:abstractNumId w:val="3"/>
  </w:num>
  <w:num w:numId="26">
    <w:abstractNumId w:val="8"/>
  </w:num>
  <w:num w:numId="27">
    <w:abstractNumId w:val="36"/>
  </w:num>
  <w:num w:numId="28">
    <w:abstractNumId w:val="1"/>
  </w:num>
  <w:num w:numId="29">
    <w:abstractNumId w:val="35"/>
  </w:num>
  <w:num w:numId="30">
    <w:abstractNumId w:val="17"/>
  </w:num>
  <w:num w:numId="31">
    <w:abstractNumId w:val="28"/>
  </w:num>
  <w:num w:numId="32">
    <w:abstractNumId w:val="34"/>
  </w:num>
  <w:num w:numId="33">
    <w:abstractNumId w:val="10"/>
  </w:num>
  <w:num w:numId="34">
    <w:abstractNumId w:val="30"/>
  </w:num>
  <w:num w:numId="35">
    <w:abstractNumId w:val="12"/>
  </w:num>
  <w:num w:numId="36">
    <w:abstractNumId w:val="1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E5B"/>
    <w:rsid w:val="00000F14"/>
    <w:rsid w:val="00007F55"/>
    <w:rsid w:val="00014A2C"/>
    <w:rsid w:val="00015D7A"/>
    <w:rsid w:val="000168E1"/>
    <w:rsid w:val="0003015A"/>
    <w:rsid w:val="00030D1B"/>
    <w:rsid w:val="0003721B"/>
    <w:rsid w:val="00045D63"/>
    <w:rsid w:val="0005626D"/>
    <w:rsid w:val="00056892"/>
    <w:rsid w:val="00072AD0"/>
    <w:rsid w:val="00080123"/>
    <w:rsid w:val="000825D4"/>
    <w:rsid w:val="00085E11"/>
    <w:rsid w:val="00085E59"/>
    <w:rsid w:val="000869D9"/>
    <w:rsid w:val="000A0758"/>
    <w:rsid w:val="000A28CD"/>
    <w:rsid w:val="000A386A"/>
    <w:rsid w:val="000A4135"/>
    <w:rsid w:val="000A4AB2"/>
    <w:rsid w:val="000B2245"/>
    <w:rsid w:val="000B45CB"/>
    <w:rsid w:val="000B637C"/>
    <w:rsid w:val="000B7482"/>
    <w:rsid w:val="000C31ED"/>
    <w:rsid w:val="000D3575"/>
    <w:rsid w:val="000D3EDF"/>
    <w:rsid w:val="000F0E80"/>
    <w:rsid w:val="000F4520"/>
    <w:rsid w:val="000F5154"/>
    <w:rsid w:val="0010101E"/>
    <w:rsid w:val="00110591"/>
    <w:rsid w:val="001140BE"/>
    <w:rsid w:val="001172CA"/>
    <w:rsid w:val="001178B3"/>
    <w:rsid w:val="00121D08"/>
    <w:rsid w:val="00122FDE"/>
    <w:rsid w:val="00124077"/>
    <w:rsid w:val="001256A5"/>
    <w:rsid w:val="001260AA"/>
    <w:rsid w:val="00126CF4"/>
    <w:rsid w:val="001321CA"/>
    <w:rsid w:val="00134079"/>
    <w:rsid w:val="00134B90"/>
    <w:rsid w:val="00140806"/>
    <w:rsid w:val="001447FC"/>
    <w:rsid w:val="00152CC9"/>
    <w:rsid w:val="001551DE"/>
    <w:rsid w:val="001851B6"/>
    <w:rsid w:val="00185A6C"/>
    <w:rsid w:val="001864DA"/>
    <w:rsid w:val="00192958"/>
    <w:rsid w:val="00194A90"/>
    <w:rsid w:val="001A39E6"/>
    <w:rsid w:val="001A6587"/>
    <w:rsid w:val="001B3167"/>
    <w:rsid w:val="001B6104"/>
    <w:rsid w:val="001E3075"/>
    <w:rsid w:val="001F11AE"/>
    <w:rsid w:val="001F5383"/>
    <w:rsid w:val="00200162"/>
    <w:rsid w:val="00203277"/>
    <w:rsid w:val="002071CA"/>
    <w:rsid w:val="00207768"/>
    <w:rsid w:val="00246259"/>
    <w:rsid w:val="00254314"/>
    <w:rsid w:val="002559F1"/>
    <w:rsid w:val="00270E3C"/>
    <w:rsid w:val="002713FF"/>
    <w:rsid w:val="00271E5E"/>
    <w:rsid w:val="00280F82"/>
    <w:rsid w:val="00286FBB"/>
    <w:rsid w:val="00297FCA"/>
    <w:rsid w:val="002B0CB5"/>
    <w:rsid w:val="002B1BAD"/>
    <w:rsid w:val="002B4908"/>
    <w:rsid w:val="002B4E3A"/>
    <w:rsid w:val="002C5158"/>
    <w:rsid w:val="002C7355"/>
    <w:rsid w:val="002D5FB6"/>
    <w:rsid w:val="002D7FA6"/>
    <w:rsid w:val="002E17E0"/>
    <w:rsid w:val="002E3D7E"/>
    <w:rsid w:val="002E3EF9"/>
    <w:rsid w:val="002F4407"/>
    <w:rsid w:val="002F73DC"/>
    <w:rsid w:val="00300ECC"/>
    <w:rsid w:val="00303C9E"/>
    <w:rsid w:val="00311900"/>
    <w:rsid w:val="00311C0F"/>
    <w:rsid w:val="00321C4B"/>
    <w:rsid w:val="003230DB"/>
    <w:rsid w:val="00327D20"/>
    <w:rsid w:val="0033001E"/>
    <w:rsid w:val="00331455"/>
    <w:rsid w:val="0033699D"/>
    <w:rsid w:val="00337104"/>
    <w:rsid w:val="00345E3E"/>
    <w:rsid w:val="00346A42"/>
    <w:rsid w:val="003638DD"/>
    <w:rsid w:val="00364EF7"/>
    <w:rsid w:val="00366615"/>
    <w:rsid w:val="00367209"/>
    <w:rsid w:val="00371A95"/>
    <w:rsid w:val="00375AD2"/>
    <w:rsid w:val="003761D8"/>
    <w:rsid w:val="00391FD0"/>
    <w:rsid w:val="00393522"/>
    <w:rsid w:val="00394E17"/>
    <w:rsid w:val="003A473B"/>
    <w:rsid w:val="003A536C"/>
    <w:rsid w:val="003B0CA5"/>
    <w:rsid w:val="003B3758"/>
    <w:rsid w:val="003C3136"/>
    <w:rsid w:val="003C6EF2"/>
    <w:rsid w:val="003D40DC"/>
    <w:rsid w:val="003E1DBC"/>
    <w:rsid w:val="003F4211"/>
    <w:rsid w:val="00406D87"/>
    <w:rsid w:val="00423E5B"/>
    <w:rsid w:val="0042659A"/>
    <w:rsid w:val="00431DE8"/>
    <w:rsid w:val="004428FB"/>
    <w:rsid w:val="00447AE4"/>
    <w:rsid w:val="004576BF"/>
    <w:rsid w:val="00464556"/>
    <w:rsid w:val="00470201"/>
    <w:rsid w:val="0048427E"/>
    <w:rsid w:val="00484830"/>
    <w:rsid w:val="004A3388"/>
    <w:rsid w:val="004A3E10"/>
    <w:rsid w:val="004A761E"/>
    <w:rsid w:val="004B37C6"/>
    <w:rsid w:val="004D246C"/>
    <w:rsid w:val="004D6AF1"/>
    <w:rsid w:val="004E0A84"/>
    <w:rsid w:val="004E1EB9"/>
    <w:rsid w:val="004E2BFF"/>
    <w:rsid w:val="004F6BCA"/>
    <w:rsid w:val="0052052E"/>
    <w:rsid w:val="00521674"/>
    <w:rsid w:val="00523864"/>
    <w:rsid w:val="00534B7F"/>
    <w:rsid w:val="00536F37"/>
    <w:rsid w:val="005559B1"/>
    <w:rsid w:val="0055676F"/>
    <w:rsid w:val="005573A9"/>
    <w:rsid w:val="00560AEC"/>
    <w:rsid w:val="00560B7E"/>
    <w:rsid w:val="00561BC5"/>
    <w:rsid w:val="005647C4"/>
    <w:rsid w:val="00574250"/>
    <w:rsid w:val="00577B41"/>
    <w:rsid w:val="00584329"/>
    <w:rsid w:val="0059250D"/>
    <w:rsid w:val="005A4D71"/>
    <w:rsid w:val="005B1993"/>
    <w:rsid w:val="005E221F"/>
    <w:rsid w:val="005E69BF"/>
    <w:rsid w:val="005F0349"/>
    <w:rsid w:val="005F0819"/>
    <w:rsid w:val="005F22B2"/>
    <w:rsid w:val="005F2728"/>
    <w:rsid w:val="00601444"/>
    <w:rsid w:val="006016AD"/>
    <w:rsid w:val="00607DCD"/>
    <w:rsid w:val="006247CB"/>
    <w:rsid w:val="0063342A"/>
    <w:rsid w:val="00634BAE"/>
    <w:rsid w:val="0063790F"/>
    <w:rsid w:val="006537A1"/>
    <w:rsid w:val="006659BA"/>
    <w:rsid w:val="00670361"/>
    <w:rsid w:val="006854E5"/>
    <w:rsid w:val="006861A3"/>
    <w:rsid w:val="00692660"/>
    <w:rsid w:val="006A0543"/>
    <w:rsid w:val="006A370B"/>
    <w:rsid w:val="006B799D"/>
    <w:rsid w:val="006C0926"/>
    <w:rsid w:val="006C5539"/>
    <w:rsid w:val="006E4A05"/>
    <w:rsid w:val="006F066A"/>
    <w:rsid w:val="007118C5"/>
    <w:rsid w:val="00713A79"/>
    <w:rsid w:val="00715A14"/>
    <w:rsid w:val="007177AB"/>
    <w:rsid w:val="00722357"/>
    <w:rsid w:val="00724C13"/>
    <w:rsid w:val="00732B04"/>
    <w:rsid w:val="00734E68"/>
    <w:rsid w:val="00736C7D"/>
    <w:rsid w:val="00736E6A"/>
    <w:rsid w:val="007379CE"/>
    <w:rsid w:val="007429DA"/>
    <w:rsid w:val="00746347"/>
    <w:rsid w:val="00747096"/>
    <w:rsid w:val="00773E6F"/>
    <w:rsid w:val="007800D3"/>
    <w:rsid w:val="00791035"/>
    <w:rsid w:val="00791B47"/>
    <w:rsid w:val="00797651"/>
    <w:rsid w:val="007A0611"/>
    <w:rsid w:val="007B0CEE"/>
    <w:rsid w:val="007B3039"/>
    <w:rsid w:val="007D2BB6"/>
    <w:rsid w:val="007D48D2"/>
    <w:rsid w:val="007D52E3"/>
    <w:rsid w:val="007E0C38"/>
    <w:rsid w:val="007E2489"/>
    <w:rsid w:val="007E2E71"/>
    <w:rsid w:val="007F3FA3"/>
    <w:rsid w:val="007F70A9"/>
    <w:rsid w:val="00800D65"/>
    <w:rsid w:val="00801110"/>
    <w:rsid w:val="00805EB1"/>
    <w:rsid w:val="00812770"/>
    <w:rsid w:val="008170BD"/>
    <w:rsid w:val="00817FBD"/>
    <w:rsid w:val="00822387"/>
    <w:rsid w:val="00830383"/>
    <w:rsid w:val="008421EB"/>
    <w:rsid w:val="008443F7"/>
    <w:rsid w:val="0084531C"/>
    <w:rsid w:val="00855872"/>
    <w:rsid w:val="00857B1F"/>
    <w:rsid w:val="008666CD"/>
    <w:rsid w:val="008677A3"/>
    <w:rsid w:val="008701B3"/>
    <w:rsid w:val="00873CC0"/>
    <w:rsid w:val="008753DD"/>
    <w:rsid w:val="008A0253"/>
    <w:rsid w:val="008A0AE8"/>
    <w:rsid w:val="008A2EF3"/>
    <w:rsid w:val="008B4FA7"/>
    <w:rsid w:val="008B6765"/>
    <w:rsid w:val="008C2CC5"/>
    <w:rsid w:val="008C6320"/>
    <w:rsid w:val="008C6844"/>
    <w:rsid w:val="008C6B5A"/>
    <w:rsid w:val="008D2226"/>
    <w:rsid w:val="008D4269"/>
    <w:rsid w:val="008E49C1"/>
    <w:rsid w:val="008E5BFC"/>
    <w:rsid w:val="008F140B"/>
    <w:rsid w:val="009059FA"/>
    <w:rsid w:val="00920B8D"/>
    <w:rsid w:val="00942C43"/>
    <w:rsid w:val="009444FA"/>
    <w:rsid w:val="009532E1"/>
    <w:rsid w:val="009614C2"/>
    <w:rsid w:val="00961C91"/>
    <w:rsid w:val="009665A9"/>
    <w:rsid w:val="00973376"/>
    <w:rsid w:val="009741EB"/>
    <w:rsid w:val="00982BA3"/>
    <w:rsid w:val="009877E5"/>
    <w:rsid w:val="0099399F"/>
    <w:rsid w:val="00993A8C"/>
    <w:rsid w:val="00995C46"/>
    <w:rsid w:val="00996318"/>
    <w:rsid w:val="009A352F"/>
    <w:rsid w:val="009A3E08"/>
    <w:rsid w:val="009A60E8"/>
    <w:rsid w:val="009A6781"/>
    <w:rsid w:val="009A6EC4"/>
    <w:rsid w:val="009B5CAE"/>
    <w:rsid w:val="009C2C2E"/>
    <w:rsid w:val="009C3F79"/>
    <w:rsid w:val="009D2FD8"/>
    <w:rsid w:val="009D50D8"/>
    <w:rsid w:val="009D6666"/>
    <w:rsid w:val="009E1474"/>
    <w:rsid w:val="009E2AE0"/>
    <w:rsid w:val="009E5516"/>
    <w:rsid w:val="009E751A"/>
    <w:rsid w:val="00A00B4D"/>
    <w:rsid w:val="00A067D4"/>
    <w:rsid w:val="00A149A7"/>
    <w:rsid w:val="00A35B41"/>
    <w:rsid w:val="00A37F75"/>
    <w:rsid w:val="00A405F0"/>
    <w:rsid w:val="00A41A81"/>
    <w:rsid w:val="00A43019"/>
    <w:rsid w:val="00A445D6"/>
    <w:rsid w:val="00A60501"/>
    <w:rsid w:val="00A64828"/>
    <w:rsid w:val="00A65908"/>
    <w:rsid w:val="00A67CBB"/>
    <w:rsid w:val="00A720EE"/>
    <w:rsid w:val="00A8301E"/>
    <w:rsid w:val="00A83048"/>
    <w:rsid w:val="00A86F1E"/>
    <w:rsid w:val="00AA5AC2"/>
    <w:rsid w:val="00AA7DE3"/>
    <w:rsid w:val="00AC0348"/>
    <w:rsid w:val="00AD7EBB"/>
    <w:rsid w:val="00AF5FF0"/>
    <w:rsid w:val="00B00E0B"/>
    <w:rsid w:val="00B020AC"/>
    <w:rsid w:val="00B02F0E"/>
    <w:rsid w:val="00B2490B"/>
    <w:rsid w:val="00B24BEE"/>
    <w:rsid w:val="00B25189"/>
    <w:rsid w:val="00B37789"/>
    <w:rsid w:val="00B4321A"/>
    <w:rsid w:val="00B51E30"/>
    <w:rsid w:val="00B57768"/>
    <w:rsid w:val="00B61008"/>
    <w:rsid w:val="00B63652"/>
    <w:rsid w:val="00B7207D"/>
    <w:rsid w:val="00B80909"/>
    <w:rsid w:val="00B81A93"/>
    <w:rsid w:val="00B8570A"/>
    <w:rsid w:val="00B85FD9"/>
    <w:rsid w:val="00B92978"/>
    <w:rsid w:val="00B929C2"/>
    <w:rsid w:val="00BA2557"/>
    <w:rsid w:val="00BA2F03"/>
    <w:rsid w:val="00BA3D5A"/>
    <w:rsid w:val="00BA51AD"/>
    <w:rsid w:val="00BA683E"/>
    <w:rsid w:val="00BA69FB"/>
    <w:rsid w:val="00BB1E49"/>
    <w:rsid w:val="00BB7B04"/>
    <w:rsid w:val="00BB7CBE"/>
    <w:rsid w:val="00BC12BF"/>
    <w:rsid w:val="00BF262F"/>
    <w:rsid w:val="00BF3126"/>
    <w:rsid w:val="00BF3DDF"/>
    <w:rsid w:val="00C00268"/>
    <w:rsid w:val="00C02C60"/>
    <w:rsid w:val="00C06C49"/>
    <w:rsid w:val="00C07536"/>
    <w:rsid w:val="00C143C1"/>
    <w:rsid w:val="00C55604"/>
    <w:rsid w:val="00C573F0"/>
    <w:rsid w:val="00C660BC"/>
    <w:rsid w:val="00C74B23"/>
    <w:rsid w:val="00C75871"/>
    <w:rsid w:val="00C77697"/>
    <w:rsid w:val="00C82914"/>
    <w:rsid w:val="00C82F49"/>
    <w:rsid w:val="00C8434E"/>
    <w:rsid w:val="00C969FF"/>
    <w:rsid w:val="00C9794E"/>
    <w:rsid w:val="00CB0BCF"/>
    <w:rsid w:val="00CB3639"/>
    <w:rsid w:val="00CC3C43"/>
    <w:rsid w:val="00CC4348"/>
    <w:rsid w:val="00CC58F2"/>
    <w:rsid w:val="00CD7F21"/>
    <w:rsid w:val="00CE32BD"/>
    <w:rsid w:val="00CE4DD4"/>
    <w:rsid w:val="00CE5E13"/>
    <w:rsid w:val="00D140DF"/>
    <w:rsid w:val="00D20F81"/>
    <w:rsid w:val="00D26174"/>
    <w:rsid w:val="00D35F8C"/>
    <w:rsid w:val="00D36ECE"/>
    <w:rsid w:val="00D37040"/>
    <w:rsid w:val="00D46974"/>
    <w:rsid w:val="00D57B48"/>
    <w:rsid w:val="00D57BD2"/>
    <w:rsid w:val="00D76AC4"/>
    <w:rsid w:val="00D864BB"/>
    <w:rsid w:val="00D91366"/>
    <w:rsid w:val="00D9492A"/>
    <w:rsid w:val="00DA2396"/>
    <w:rsid w:val="00DA5259"/>
    <w:rsid w:val="00DB7282"/>
    <w:rsid w:val="00DC1D06"/>
    <w:rsid w:val="00DC25C6"/>
    <w:rsid w:val="00DC33D7"/>
    <w:rsid w:val="00DC62D5"/>
    <w:rsid w:val="00DD20C1"/>
    <w:rsid w:val="00DD3A32"/>
    <w:rsid w:val="00DD4A99"/>
    <w:rsid w:val="00DD7F2D"/>
    <w:rsid w:val="00E0131B"/>
    <w:rsid w:val="00E02847"/>
    <w:rsid w:val="00E0398E"/>
    <w:rsid w:val="00E04900"/>
    <w:rsid w:val="00E06FCE"/>
    <w:rsid w:val="00E13C68"/>
    <w:rsid w:val="00E1682C"/>
    <w:rsid w:val="00E20441"/>
    <w:rsid w:val="00E23B1A"/>
    <w:rsid w:val="00E349D4"/>
    <w:rsid w:val="00E40406"/>
    <w:rsid w:val="00E434B6"/>
    <w:rsid w:val="00E440C1"/>
    <w:rsid w:val="00E53EB7"/>
    <w:rsid w:val="00E5788F"/>
    <w:rsid w:val="00E63BAA"/>
    <w:rsid w:val="00E72FFE"/>
    <w:rsid w:val="00E73DAC"/>
    <w:rsid w:val="00E81D9E"/>
    <w:rsid w:val="00E841B6"/>
    <w:rsid w:val="00E922D9"/>
    <w:rsid w:val="00E95065"/>
    <w:rsid w:val="00EA4271"/>
    <w:rsid w:val="00EA7109"/>
    <w:rsid w:val="00EB6836"/>
    <w:rsid w:val="00EC44F6"/>
    <w:rsid w:val="00ED20D0"/>
    <w:rsid w:val="00ED2E6F"/>
    <w:rsid w:val="00EE66D7"/>
    <w:rsid w:val="00EE75C5"/>
    <w:rsid w:val="00EE7DA3"/>
    <w:rsid w:val="00EF004B"/>
    <w:rsid w:val="00EF3315"/>
    <w:rsid w:val="00EF53AF"/>
    <w:rsid w:val="00F01216"/>
    <w:rsid w:val="00F03BC0"/>
    <w:rsid w:val="00F059F7"/>
    <w:rsid w:val="00F1443C"/>
    <w:rsid w:val="00F17850"/>
    <w:rsid w:val="00F46C8A"/>
    <w:rsid w:val="00F52126"/>
    <w:rsid w:val="00F53CF9"/>
    <w:rsid w:val="00F569CA"/>
    <w:rsid w:val="00F6444E"/>
    <w:rsid w:val="00F70BBD"/>
    <w:rsid w:val="00F755F2"/>
    <w:rsid w:val="00F827D2"/>
    <w:rsid w:val="00F8362D"/>
    <w:rsid w:val="00F84744"/>
    <w:rsid w:val="00F950EB"/>
    <w:rsid w:val="00FA092B"/>
    <w:rsid w:val="00FA4198"/>
    <w:rsid w:val="00FB17CD"/>
    <w:rsid w:val="00FB30CC"/>
    <w:rsid w:val="00FB578C"/>
    <w:rsid w:val="00FD2AAA"/>
    <w:rsid w:val="00FE1EFA"/>
    <w:rsid w:val="00FE69D3"/>
    <w:rsid w:val="00FE7887"/>
    <w:rsid w:val="010F8AA9"/>
    <w:rsid w:val="1804B959"/>
    <w:rsid w:val="25336ABA"/>
    <w:rsid w:val="298BB118"/>
    <w:rsid w:val="29BD127B"/>
    <w:rsid w:val="32DA6082"/>
    <w:rsid w:val="36783A24"/>
    <w:rsid w:val="38357215"/>
    <w:rsid w:val="48E41E6C"/>
    <w:rsid w:val="5226F91C"/>
    <w:rsid w:val="571B741F"/>
    <w:rsid w:val="6F2E4FC5"/>
    <w:rsid w:val="7055124E"/>
    <w:rsid w:val="7C6DB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BA33A"/>
  <w15:chartTrackingRefBased/>
  <w15:docId w15:val="{A72A80C9-10FF-4605-A516-ED3A2E74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E5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05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Heading2"/>
    <w:next w:val="Normal"/>
    <w:link w:val="Heading4Char"/>
    <w:qFormat/>
    <w:rsid w:val="0052052E"/>
    <w:pPr>
      <w:keepLines w:val="0"/>
      <w:spacing w:before="240" w:after="240" w:line="240" w:lineRule="auto"/>
      <w:outlineLvl w:val="3"/>
    </w:pPr>
    <w:rPr>
      <w:rFonts w:ascii="Arial" w:eastAsia="Times New Roman" w:hAnsi="Arial" w:cs="Times New Roman"/>
      <w:b/>
      <w:bCs/>
      <w:color w:val="104F75"/>
      <w:sz w:val="24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2052E"/>
    <w:rPr>
      <w:rFonts w:ascii="Arial" w:eastAsia="Times New Roman" w:hAnsi="Arial" w:cs="Times New Roman"/>
      <w:b/>
      <w:bCs/>
      <w:color w:val="104F75"/>
      <w:sz w:val="24"/>
      <w:szCs w:val="28"/>
      <w:lang w:eastAsia="en-GB"/>
    </w:rPr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link w:val="ListParagraphChar"/>
    <w:uiPriority w:val="34"/>
    <w:qFormat/>
    <w:rsid w:val="0052052E"/>
    <w:pPr>
      <w:numPr>
        <w:numId w:val="6"/>
      </w:numPr>
      <w:spacing w:after="240" w:line="288" w:lineRule="auto"/>
      <w:ind w:left="720"/>
      <w:contextualSpacing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Caption">
    <w:name w:val="caption"/>
    <w:basedOn w:val="Normal"/>
    <w:next w:val="Normal"/>
    <w:qFormat/>
    <w:rsid w:val="0052052E"/>
    <w:pPr>
      <w:spacing w:before="120" w:after="120" w:line="288" w:lineRule="auto"/>
      <w:jc w:val="center"/>
    </w:pPr>
    <w:rPr>
      <w:rFonts w:ascii="Arial" w:eastAsia="Times New Roman" w:hAnsi="Arial" w:cs="Times New Roman"/>
      <w:b/>
      <w:bCs/>
      <w:color w:val="000000" w:themeColor="text1"/>
      <w:sz w:val="20"/>
      <w:szCs w:val="20"/>
      <w:lang w:eastAsia="en-GB"/>
    </w:rPr>
  </w:style>
  <w:style w:type="paragraph" w:customStyle="1" w:styleId="TableHeader">
    <w:name w:val="TableHeader"/>
    <w:qFormat/>
    <w:rsid w:val="0052052E"/>
    <w:pPr>
      <w:spacing w:before="60" w:after="60" w:line="240" w:lineRule="auto"/>
      <w:ind w:left="57" w:right="57"/>
      <w:jc w:val="center"/>
    </w:pPr>
    <w:rPr>
      <w:rFonts w:ascii="Arial" w:eastAsia="Times New Roman" w:hAnsi="Arial" w:cs="Times New Roman"/>
      <w:b/>
      <w:color w:val="0D0D0D" w:themeColor="text1" w:themeTint="F2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nhideWhenUsed/>
    <w:rsid w:val="0052052E"/>
    <w:pPr>
      <w:spacing w:after="60" w:line="240" w:lineRule="auto"/>
    </w:pPr>
    <w:rPr>
      <w:rFonts w:ascii="Arial" w:eastAsia="Times New Roman" w:hAnsi="Arial" w:cs="Times New Roman"/>
      <w:color w:val="0D0D0D" w:themeColor="text1" w:themeTint="F2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52052E"/>
    <w:rPr>
      <w:rFonts w:ascii="Arial" w:eastAsia="Times New Roman" w:hAnsi="Arial" w:cs="Times New Roman"/>
      <w:color w:val="0D0D0D" w:themeColor="text1" w:themeTint="F2"/>
      <w:sz w:val="20"/>
      <w:szCs w:val="20"/>
      <w:lang w:eastAsia="en-GB"/>
    </w:rPr>
  </w:style>
  <w:style w:type="character" w:styleId="FootnoteReference">
    <w:name w:val="footnote reference"/>
    <w:basedOn w:val="DefaultParagraphFont"/>
    <w:unhideWhenUsed/>
    <w:rsid w:val="0052052E"/>
    <w:rPr>
      <w:vertAlign w:val="superscript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F5 List Paragraph Char,Bullet Points Char,MAIN CONTENT Char,List Paragraph12 Char,Bullet Style Char"/>
    <w:link w:val="ListParagraph"/>
    <w:uiPriority w:val="34"/>
    <w:qFormat/>
    <w:rsid w:val="0052052E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05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85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64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9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6B799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A2EF3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536F37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F37"/>
    <w:pPr>
      <w:spacing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D7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FA6"/>
  </w:style>
  <w:style w:type="paragraph" w:styleId="Footer">
    <w:name w:val="footer"/>
    <w:basedOn w:val="Normal"/>
    <w:link w:val="FooterChar"/>
    <w:uiPriority w:val="99"/>
    <w:semiHidden/>
    <w:unhideWhenUsed/>
    <w:rsid w:val="002D7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F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F3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36F3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F3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D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4F3878783AD4E8ED13090D4947B8F" ma:contentTypeVersion="6" ma:contentTypeDescription="Create a new document." ma:contentTypeScope="" ma:versionID="6afbb19ed44b9b1aa5aee250aa0d79e8">
  <xsd:schema xmlns:xsd="http://www.w3.org/2001/XMLSchema" xmlns:xs="http://www.w3.org/2001/XMLSchema" xmlns:p="http://schemas.microsoft.com/office/2006/metadata/properties" xmlns:ns2="c8b4fa86-7dd9-4b56-ada2-4eb888e4dd34" xmlns:ns3="8192e2aa-7af3-4353-b271-dbda96bfdb8b" targetNamespace="http://schemas.microsoft.com/office/2006/metadata/properties" ma:root="true" ma:fieldsID="779b902f4e01ccb66d2fd05e98568e9d" ns2:_="" ns3:_="">
    <xsd:import namespace="c8b4fa86-7dd9-4b56-ada2-4eb888e4dd34"/>
    <xsd:import namespace="8192e2aa-7af3-4353-b271-dbda96bfd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4fa86-7dd9-4b56-ada2-4eb888e4d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2e2aa-7af3-4353-b271-dbda96bfd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BB7AE-5E04-42D6-A481-C7DDE93925C5}">
  <ds:schemaRefs>
    <ds:schemaRef ds:uri="http://purl.org/dc/terms/"/>
    <ds:schemaRef ds:uri="http://schemas.microsoft.com/office/2006/documentManagement/types"/>
    <ds:schemaRef ds:uri="http://purl.org/dc/dcmitype/"/>
    <ds:schemaRef ds:uri="8192e2aa-7af3-4353-b271-dbda96bfdb8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8b4fa86-7dd9-4b56-ada2-4eb888e4dd3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6AB8A9-3DC7-4558-9F78-53FE3099F9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830A3-75EB-4559-BEC3-FE36A17BA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4fa86-7dd9-4b56-ada2-4eb888e4dd34"/>
    <ds:schemaRef ds:uri="8192e2aa-7af3-4353-b271-dbda96bf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School Closure – APT Adjustment</dc:title>
  <dc:subject/>
  <dc:creator>Brock, Martin</dc:creator>
  <cp:keywords>Norfolk Schools Forum - any other business</cp:keywords>
  <dc:description/>
  <cp:lastModifiedBy>Harding, Deborah</cp:lastModifiedBy>
  <cp:revision>3</cp:revision>
  <dcterms:created xsi:type="dcterms:W3CDTF">2022-01-14T09:32:00Z</dcterms:created>
  <dcterms:modified xsi:type="dcterms:W3CDTF">2022-01-18T11:24:00Z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0x0101008AB4F3878783AD4E8ED13090D4947B8F</vt:lpwstr>
  </property>
</Properties>
</file>